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EB28B5" w:rsidTr="00876A8A">
        <w:trPr>
          <w:cantSplit/>
        </w:trPr>
        <w:tc>
          <w:tcPr>
            <w:tcW w:w="6487" w:type="dxa"/>
            <w:vAlign w:val="center"/>
          </w:tcPr>
          <w:p w:rsidR="009F6520" w:rsidRPr="00EB28B5" w:rsidRDefault="009F6520" w:rsidP="009F6520">
            <w:pPr>
              <w:shd w:val="solid" w:color="FFFFFF" w:fill="FFFFFF"/>
              <w:spacing w:before="0"/>
              <w:rPr>
                <w:rFonts w:ascii="Verdana" w:hAnsi="Verdana" w:cs="Times New Roman Bold"/>
                <w:b/>
                <w:bCs/>
                <w:noProof/>
                <w:sz w:val="26"/>
                <w:szCs w:val="26"/>
              </w:rPr>
            </w:pPr>
            <w:r w:rsidRPr="00EB28B5">
              <w:rPr>
                <w:rFonts w:ascii="Verdana" w:hAnsi="Verdana" w:cs="Times New Roman Bold"/>
                <w:b/>
                <w:bCs/>
                <w:noProof/>
                <w:sz w:val="26"/>
                <w:szCs w:val="26"/>
              </w:rPr>
              <w:t>Radiocommunication Study Groups</w:t>
            </w:r>
          </w:p>
        </w:tc>
        <w:tc>
          <w:tcPr>
            <w:tcW w:w="3402" w:type="dxa"/>
          </w:tcPr>
          <w:p w:rsidR="009F6520" w:rsidRPr="00EB28B5" w:rsidRDefault="00DB49AE" w:rsidP="00DB49AE">
            <w:pPr>
              <w:shd w:val="solid" w:color="FFFFFF" w:fill="FFFFFF"/>
              <w:spacing w:before="0" w:line="240" w:lineRule="atLeast"/>
              <w:rPr>
                <w:noProof/>
              </w:rPr>
            </w:pPr>
            <w:bookmarkStart w:id="0" w:name="ditulogo"/>
            <w:bookmarkEnd w:id="0"/>
            <w:r w:rsidRPr="00EB28B5">
              <w:rPr>
                <w:b/>
                <w:bCs/>
                <w:noProof/>
                <w:sz w:val="20"/>
                <w:lang w:eastAsia="en-GB"/>
              </w:rPr>
              <w:drawing>
                <wp:inline distT="0" distB="0" distL="0" distR="0" wp14:anchorId="606989A1" wp14:editId="4BD1D787">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EB28B5" w:rsidTr="00876A8A">
        <w:trPr>
          <w:cantSplit/>
        </w:trPr>
        <w:tc>
          <w:tcPr>
            <w:tcW w:w="6487" w:type="dxa"/>
            <w:tcBorders>
              <w:bottom w:val="single" w:sz="12" w:space="0" w:color="auto"/>
            </w:tcBorders>
          </w:tcPr>
          <w:p w:rsidR="000069D4" w:rsidRPr="00EB28B5" w:rsidRDefault="000069D4" w:rsidP="00A5173C">
            <w:pPr>
              <w:shd w:val="solid" w:color="FFFFFF" w:fill="FFFFFF"/>
              <w:spacing w:before="0" w:after="48"/>
              <w:rPr>
                <w:rFonts w:ascii="Verdana" w:hAnsi="Verdana" w:cs="Times New Roman Bold"/>
                <w:b/>
                <w:noProof/>
                <w:sz w:val="22"/>
                <w:szCs w:val="22"/>
              </w:rPr>
            </w:pPr>
          </w:p>
        </w:tc>
        <w:tc>
          <w:tcPr>
            <w:tcW w:w="3402" w:type="dxa"/>
            <w:tcBorders>
              <w:bottom w:val="single" w:sz="12" w:space="0" w:color="auto"/>
            </w:tcBorders>
          </w:tcPr>
          <w:p w:rsidR="000069D4" w:rsidRPr="00EB28B5" w:rsidRDefault="000069D4" w:rsidP="00A5173C">
            <w:pPr>
              <w:shd w:val="solid" w:color="FFFFFF" w:fill="FFFFFF"/>
              <w:spacing w:before="0" w:after="48" w:line="240" w:lineRule="atLeast"/>
              <w:rPr>
                <w:noProof/>
                <w:sz w:val="22"/>
                <w:szCs w:val="22"/>
              </w:rPr>
            </w:pPr>
          </w:p>
        </w:tc>
      </w:tr>
      <w:tr w:rsidR="000069D4" w:rsidRPr="00EB28B5" w:rsidTr="00876A8A">
        <w:trPr>
          <w:cantSplit/>
        </w:trPr>
        <w:tc>
          <w:tcPr>
            <w:tcW w:w="6487" w:type="dxa"/>
            <w:tcBorders>
              <w:top w:val="single" w:sz="12" w:space="0" w:color="auto"/>
            </w:tcBorders>
          </w:tcPr>
          <w:p w:rsidR="000069D4" w:rsidRPr="00EB28B5" w:rsidRDefault="000069D4" w:rsidP="00A5173C">
            <w:pPr>
              <w:shd w:val="solid" w:color="FFFFFF" w:fill="FFFFFF"/>
              <w:spacing w:before="0" w:after="48"/>
              <w:rPr>
                <w:rFonts w:ascii="Verdana" w:hAnsi="Verdana" w:cs="Times New Roman Bold"/>
                <w:bCs/>
                <w:noProof/>
                <w:sz w:val="22"/>
                <w:szCs w:val="22"/>
              </w:rPr>
            </w:pPr>
          </w:p>
        </w:tc>
        <w:tc>
          <w:tcPr>
            <w:tcW w:w="3402" w:type="dxa"/>
            <w:tcBorders>
              <w:top w:val="single" w:sz="12" w:space="0" w:color="auto"/>
            </w:tcBorders>
          </w:tcPr>
          <w:p w:rsidR="000069D4" w:rsidRPr="00EB28B5" w:rsidRDefault="000069D4" w:rsidP="00A5173C">
            <w:pPr>
              <w:shd w:val="solid" w:color="FFFFFF" w:fill="FFFFFF"/>
              <w:spacing w:before="0" w:after="48" w:line="240" w:lineRule="atLeast"/>
              <w:rPr>
                <w:noProof/>
              </w:rPr>
            </w:pPr>
          </w:p>
        </w:tc>
      </w:tr>
      <w:tr w:rsidR="000069D4" w:rsidRPr="00EB28B5" w:rsidTr="00876A8A">
        <w:trPr>
          <w:cantSplit/>
        </w:trPr>
        <w:tc>
          <w:tcPr>
            <w:tcW w:w="6487" w:type="dxa"/>
            <w:vMerge w:val="restart"/>
          </w:tcPr>
          <w:p w:rsidR="00634706" w:rsidRPr="000C33AC" w:rsidRDefault="00634706" w:rsidP="00634706">
            <w:pPr>
              <w:shd w:val="solid" w:color="FFFFFF" w:fill="FFFFFF"/>
              <w:tabs>
                <w:tab w:val="clear" w:pos="1134"/>
                <w:tab w:val="clear" w:pos="1871"/>
                <w:tab w:val="clear" w:pos="2268"/>
              </w:tabs>
              <w:spacing w:before="0" w:after="240"/>
              <w:ind w:left="1134" w:hanging="1134"/>
              <w:rPr>
                <w:rFonts w:ascii="Verdana" w:hAnsi="Verdana"/>
                <w:noProof/>
                <w:sz w:val="20"/>
                <w:lang w:val="fr-CH" w:eastAsia="zh-CN"/>
              </w:rPr>
            </w:pPr>
            <w:bookmarkStart w:id="1" w:name="recibido"/>
            <w:bookmarkStart w:id="2" w:name="dnum" w:colFirst="1" w:colLast="1"/>
            <w:bookmarkEnd w:id="1"/>
            <w:r w:rsidRPr="000C33AC">
              <w:rPr>
                <w:rFonts w:ascii="Verdana" w:hAnsi="Verdana"/>
                <w:noProof/>
                <w:sz w:val="20"/>
                <w:lang w:val="fr-CH"/>
              </w:rPr>
              <w:t>Source:</w:t>
            </w:r>
            <w:r w:rsidRPr="000C33AC">
              <w:rPr>
                <w:rFonts w:ascii="Verdana" w:hAnsi="Verdana"/>
                <w:noProof/>
                <w:sz w:val="20"/>
                <w:lang w:val="fr-CH"/>
              </w:rPr>
              <w:tab/>
              <w:t>Document</w:t>
            </w:r>
            <w:r w:rsidR="00EB28B5" w:rsidRPr="000C33AC">
              <w:rPr>
                <w:rFonts w:ascii="Verdana" w:hAnsi="Verdana"/>
                <w:noProof/>
                <w:sz w:val="20"/>
                <w:lang w:val="fr-CH"/>
              </w:rPr>
              <w:t xml:space="preserve"> 5B/TEMP/161</w:t>
            </w:r>
          </w:p>
          <w:p w:rsidR="00DB49AE" w:rsidRPr="000C33AC" w:rsidRDefault="00634706" w:rsidP="00634706">
            <w:pPr>
              <w:shd w:val="solid" w:color="FFFFFF" w:fill="FFFFFF"/>
              <w:tabs>
                <w:tab w:val="clear" w:pos="1134"/>
                <w:tab w:val="clear" w:pos="1871"/>
                <w:tab w:val="clear" w:pos="2268"/>
              </w:tabs>
              <w:spacing w:before="0" w:after="240"/>
              <w:ind w:left="1134" w:hanging="1134"/>
              <w:rPr>
                <w:rFonts w:ascii="Verdana" w:hAnsi="Verdana"/>
                <w:noProof/>
                <w:sz w:val="20"/>
                <w:lang w:val="fr-CH"/>
              </w:rPr>
            </w:pPr>
            <w:r w:rsidRPr="000C33AC">
              <w:rPr>
                <w:rFonts w:ascii="Verdana" w:hAnsi="Verdana"/>
                <w:noProof/>
                <w:sz w:val="20"/>
                <w:lang w:val="fr-CH"/>
              </w:rPr>
              <w:t>Subject:</w:t>
            </w:r>
            <w:r w:rsidRPr="000C33AC">
              <w:rPr>
                <w:rFonts w:ascii="Verdana" w:hAnsi="Verdana"/>
                <w:noProof/>
                <w:sz w:val="20"/>
                <w:lang w:val="fr-CH"/>
              </w:rPr>
              <w:tab/>
              <w:t>WRC-19 agenda item 1.9.1</w:t>
            </w:r>
          </w:p>
        </w:tc>
        <w:tc>
          <w:tcPr>
            <w:tcW w:w="3402" w:type="dxa"/>
          </w:tcPr>
          <w:p w:rsidR="000069D4" w:rsidRPr="00EB28B5" w:rsidRDefault="00EB28B5" w:rsidP="00A5173C">
            <w:pPr>
              <w:shd w:val="solid" w:color="FFFFFF" w:fill="FFFFFF"/>
              <w:spacing w:before="0" w:line="240" w:lineRule="atLeast"/>
              <w:rPr>
                <w:rFonts w:ascii="Verdana" w:hAnsi="Verdana"/>
                <w:noProof/>
                <w:sz w:val="20"/>
                <w:lang w:eastAsia="zh-CN"/>
              </w:rPr>
            </w:pPr>
            <w:r w:rsidRPr="00EB28B5">
              <w:rPr>
                <w:rFonts w:ascii="Verdana" w:hAnsi="Verdana"/>
                <w:b/>
                <w:noProof/>
                <w:sz w:val="20"/>
                <w:lang w:eastAsia="zh-CN"/>
              </w:rPr>
              <w:t>Annex 23 to</w:t>
            </w:r>
            <w:r w:rsidRPr="00EB28B5">
              <w:rPr>
                <w:rFonts w:ascii="Verdana" w:hAnsi="Verdana"/>
                <w:b/>
                <w:noProof/>
                <w:sz w:val="20"/>
                <w:lang w:eastAsia="zh-CN"/>
              </w:rPr>
              <w:br/>
            </w:r>
            <w:r w:rsidR="00DB49AE" w:rsidRPr="00EB28B5">
              <w:rPr>
                <w:rFonts w:ascii="Verdana" w:hAnsi="Verdana"/>
                <w:b/>
                <w:noProof/>
                <w:sz w:val="20"/>
                <w:lang w:eastAsia="zh-CN"/>
              </w:rPr>
              <w:t>Document 5B/</w:t>
            </w:r>
            <w:r w:rsidRPr="00EB28B5">
              <w:rPr>
                <w:rFonts w:ascii="Verdana" w:hAnsi="Verdana"/>
                <w:b/>
                <w:noProof/>
                <w:sz w:val="20"/>
                <w:lang w:eastAsia="zh-CN"/>
              </w:rPr>
              <w:t>411</w:t>
            </w:r>
            <w:r w:rsidR="00DB49AE" w:rsidRPr="00EB28B5">
              <w:rPr>
                <w:rFonts w:ascii="Verdana" w:hAnsi="Verdana"/>
                <w:b/>
                <w:noProof/>
                <w:sz w:val="20"/>
                <w:lang w:eastAsia="zh-CN"/>
              </w:rPr>
              <w:t>-E</w:t>
            </w:r>
          </w:p>
        </w:tc>
      </w:tr>
      <w:tr w:rsidR="000069D4" w:rsidRPr="00EB28B5" w:rsidTr="00876A8A">
        <w:trPr>
          <w:cantSplit/>
        </w:trPr>
        <w:tc>
          <w:tcPr>
            <w:tcW w:w="6487" w:type="dxa"/>
            <w:vMerge/>
          </w:tcPr>
          <w:p w:rsidR="000069D4" w:rsidRPr="00EB28B5" w:rsidRDefault="000069D4" w:rsidP="00A5173C">
            <w:pPr>
              <w:spacing w:before="60"/>
              <w:jc w:val="center"/>
              <w:rPr>
                <w:b/>
                <w:smallCaps/>
                <w:noProof/>
                <w:sz w:val="32"/>
                <w:lang w:eastAsia="zh-CN"/>
              </w:rPr>
            </w:pPr>
            <w:bookmarkStart w:id="3" w:name="ddate" w:colFirst="1" w:colLast="1"/>
            <w:bookmarkEnd w:id="2"/>
          </w:p>
        </w:tc>
        <w:tc>
          <w:tcPr>
            <w:tcW w:w="3402" w:type="dxa"/>
          </w:tcPr>
          <w:p w:rsidR="000069D4" w:rsidRPr="00EB28B5" w:rsidRDefault="00A84D5A" w:rsidP="00A84D5A">
            <w:pPr>
              <w:shd w:val="solid" w:color="FFFFFF" w:fill="FFFFFF"/>
              <w:spacing w:before="0" w:line="240" w:lineRule="atLeast"/>
              <w:rPr>
                <w:rFonts w:ascii="Verdana" w:hAnsi="Verdana"/>
                <w:noProof/>
                <w:sz w:val="20"/>
                <w:lang w:eastAsia="zh-CN"/>
              </w:rPr>
            </w:pPr>
            <w:r>
              <w:rPr>
                <w:rFonts w:ascii="Verdana" w:hAnsi="Verdana"/>
                <w:b/>
                <w:sz w:val="20"/>
                <w:lang w:eastAsia="zh-CN"/>
              </w:rPr>
              <w:t>4 December 2017</w:t>
            </w:r>
          </w:p>
        </w:tc>
      </w:tr>
      <w:tr w:rsidR="000069D4" w:rsidRPr="00EB28B5" w:rsidTr="00876A8A">
        <w:trPr>
          <w:cantSplit/>
        </w:trPr>
        <w:tc>
          <w:tcPr>
            <w:tcW w:w="6487" w:type="dxa"/>
            <w:vMerge/>
          </w:tcPr>
          <w:p w:rsidR="000069D4" w:rsidRPr="00EB28B5" w:rsidRDefault="000069D4" w:rsidP="00A5173C">
            <w:pPr>
              <w:spacing w:before="60"/>
              <w:jc w:val="center"/>
              <w:rPr>
                <w:b/>
                <w:smallCaps/>
                <w:noProof/>
                <w:sz w:val="32"/>
                <w:lang w:eastAsia="zh-CN"/>
              </w:rPr>
            </w:pPr>
            <w:bookmarkStart w:id="4" w:name="dorlang" w:colFirst="1" w:colLast="1"/>
            <w:bookmarkEnd w:id="3"/>
          </w:p>
        </w:tc>
        <w:tc>
          <w:tcPr>
            <w:tcW w:w="3402" w:type="dxa"/>
          </w:tcPr>
          <w:p w:rsidR="000069D4" w:rsidRPr="00EB28B5" w:rsidRDefault="00DB49AE" w:rsidP="00A5173C">
            <w:pPr>
              <w:shd w:val="solid" w:color="FFFFFF" w:fill="FFFFFF"/>
              <w:spacing w:before="0" w:line="240" w:lineRule="atLeast"/>
              <w:rPr>
                <w:rFonts w:ascii="Verdana" w:eastAsia="SimSun" w:hAnsi="Verdana"/>
                <w:noProof/>
                <w:sz w:val="20"/>
                <w:lang w:eastAsia="zh-CN"/>
              </w:rPr>
            </w:pPr>
            <w:r w:rsidRPr="00EB28B5">
              <w:rPr>
                <w:rFonts w:ascii="Verdana" w:eastAsia="SimSun" w:hAnsi="Verdana"/>
                <w:b/>
                <w:noProof/>
                <w:sz w:val="20"/>
                <w:lang w:eastAsia="zh-CN"/>
              </w:rPr>
              <w:t>English only</w:t>
            </w:r>
          </w:p>
        </w:tc>
      </w:tr>
      <w:tr w:rsidR="000069D4" w:rsidRPr="00EB28B5" w:rsidTr="00D046A7">
        <w:trPr>
          <w:cantSplit/>
        </w:trPr>
        <w:tc>
          <w:tcPr>
            <w:tcW w:w="9889" w:type="dxa"/>
            <w:gridSpan w:val="2"/>
          </w:tcPr>
          <w:p w:rsidR="000069D4" w:rsidRPr="00EB28B5" w:rsidRDefault="00EB28B5" w:rsidP="00DB49AE">
            <w:pPr>
              <w:pStyle w:val="Source"/>
              <w:rPr>
                <w:noProof/>
                <w:lang w:eastAsia="zh-CN"/>
              </w:rPr>
            </w:pPr>
            <w:bookmarkStart w:id="5" w:name="dsource" w:colFirst="0" w:colLast="0"/>
            <w:bookmarkEnd w:id="4"/>
            <w:r w:rsidRPr="00EB28B5">
              <w:rPr>
                <w:noProof/>
              </w:rPr>
              <w:t xml:space="preserve">Annex 23 to the </w:t>
            </w:r>
            <w:r w:rsidR="00634706" w:rsidRPr="00EB28B5">
              <w:rPr>
                <w:noProof/>
              </w:rPr>
              <w:t>Working Party 5B</w:t>
            </w:r>
            <w:r w:rsidRPr="00EB28B5">
              <w:rPr>
                <w:noProof/>
              </w:rPr>
              <w:t xml:space="preserve"> Chairman’s Report</w:t>
            </w:r>
          </w:p>
        </w:tc>
      </w:tr>
      <w:tr w:rsidR="000069D4" w:rsidRPr="00EB28B5" w:rsidTr="00D046A7">
        <w:trPr>
          <w:cantSplit/>
        </w:trPr>
        <w:tc>
          <w:tcPr>
            <w:tcW w:w="9889" w:type="dxa"/>
            <w:gridSpan w:val="2"/>
          </w:tcPr>
          <w:p w:rsidR="000069D4" w:rsidRPr="00EB28B5" w:rsidRDefault="00634706" w:rsidP="00A5173C">
            <w:pPr>
              <w:pStyle w:val="Title1"/>
              <w:rPr>
                <w:noProof/>
                <w:lang w:eastAsia="zh-CN"/>
              </w:rPr>
            </w:pPr>
            <w:bookmarkStart w:id="6" w:name="drec" w:colFirst="0" w:colLast="0"/>
            <w:bookmarkEnd w:id="5"/>
            <w:r w:rsidRPr="00EB28B5">
              <w:rPr>
                <w:noProof/>
                <w:lang w:eastAsia="zh-CN"/>
              </w:rPr>
              <w:t xml:space="preserve">Working Document towards a Preliminary draft NEW </w:t>
            </w:r>
            <w:r w:rsidRPr="00EB28B5">
              <w:rPr>
                <w:noProof/>
                <w:lang w:eastAsia="zh-CN"/>
              </w:rPr>
              <w:br/>
              <w:t>report ITU-R M.[NEW_MARNUM]</w:t>
            </w:r>
          </w:p>
        </w:tc>
      </w:tr>
      <w:tr w:rsidR="000069D4" w:rsidRPr="00EB28B5" w:rsidTr="00D046A7">
        <w:trPr>
          <w:cantSplit/>
        </w:trPr>
        <w:tc>
          <w:tcPr>
            <w:tcW w:w="9889" w:type="dxa"/>
            <w:gridSpan w:val="2"/>
          </w:tcPr>
          <w:p w:rsidR="000069D4" w:rsidRPr="00EB28B5" w:rsidRDefault="00634706" w:rsidP="00634706">
            <w:pPr>
              <w:pStyle w:val="Title4"/>
              <w:rPr>
                <w:noProof/>
                <w:lang w:eastAsia="zh-CN"/>
              </w:rPr>
            </w:pPr>
            <w:bookmarkStart w:id="7" w:name="dtitle1" w:colFirst="0" w:colLast="0"/>
            <w:bookmarkEnd w:id="6"/>
            <w:r w:rsidRPr="00EB28B5">
              <w:rPr>
                <w:noProof/>
              </w:rPr>
              <w:t>Autonomous maritime radio devices</w:t>
            </w:r>
          </w:p>
        </w:tc>
      </w:tr>
    </w:tbl>
    <w:p w:rsidR="00EB28B5" w:rsidRPr="00921498" w:rsidRDefault="00EB28B5" w:rsidP="00634706">
      <w:pPr>
        <w:pStyle w:val="Normalaftertitle"/>
        <w:rPr>
          <w:b/>
          <w:noProof/>
          <w:sz w:val="22"/>
          <w:szCs w:val="22"/>
          <w:lang w:eastAsia="zh-CN"/>
        </w:rPr>
      </w:pPr>
      <w:bookmarkStart w:id="8" w:name="dbreak"/>
      <w:bookmarkEnd w:id="7"/>
      <w:bookmarkEnd w:id="8"/>
      <w:r w:rsidRPr="00921498">
        <w:rPr>
          <w:b/>
          <w:noProof/>
          <w:sz w:val="22"/>
          <w:szCs w:val="22"/>
          <w:lang w:eastAsia="zh-CN"/>
        </w:rPr>
        <w:t>Scope</w:t>
      </w:r>
    </w:p>
    <w:p w:rsidR="00634706" w:rsidRPr="00EB28B5" w:rsidRDefault="00634706" w:rsidP="00634706">
      <w:pPr>
        <w:pStyle w:val="Normalaftertitle"/>
        <w:rPr>
          <w:b/>
          <w:noProof/>
          <w:lang w:eastAsia="zh-CN"/>
        </w:rPr>
      </w:pPr>
      <w:r w:rsidRPr="00EB28B5">
        <w:rPr>
          <w:b/>
          <w:noProof/>
          <w:lang w:eastAsia="zh-CN"/>
        </w:rPr>
        <w:t>Keywords</w:t>
      </w:r>
    </w:p>
    <w:p w:rsidR="00EB28B5" w:rsidRDefault="00EB28B5" w:rsidP="00921498">
      <w:pPr>
        <w:rPr>
          <w:noProof/>
          <w:lang w:eastAsia="zh-CN"/>
        </w:rPr>
      </w:pPr>
    </w:p>
    <w:p w:rsidR="00634706" w:rsidRPr="00EB28B5" w:rsidRDefault="00634706" w:rsidP="00634706">
      <w:pPr>
        <w:rPr>
          <w:b/>
          <w:noProof/>
          <w:lang w:eastAsia="zh-CN"/>
        </w:rPr>
      </w:pPr>
      <w:r w:rsidRPr="00EB28B5">
        <w:rPr>
          <w:b/>
          <w:noProof/>
          <w:lang w:eastAsia="zh-CN"/>
        </w:rPr>
        <w:t>Glossary / abbreviations</w:t>
      </w:r>
    </w:p>
    <w:p w:rsidR="00634706" w:rsidRPr="00EB28B5" w:rsidRDefault="00634706" w:rsidP="00EB28B5">
      <w:pPr>
        <w:spacing w:before="60"/>
        <w:rPr>
          <w:noProof/>
          <w:lang w:eastAsia="zh-CN"/>
        </w:rPr>
      </w:pPr>
      <w:r w:rsidRPr="00EB28B5">
        <w:rPr>
          <w:noProof/>
          <w:lang w:eastAsia="zh-CN"/>
        </w:rPr>
        <w:t>AIS:</w:t>
      </w:r>
      <w:r w:rsidRPr="00EB28B5">
        <w:rPr>
          <w:noProof/>
          <w:lang w:eastAsia="zh-CN"/>
        </w:rPr>
        <w:tab/>
        <w:t>Automatic identification system</w:t>
      </w:r>
    </w:p>
    <w:p w:rsidR="00634706" w:rsidRPr="00EB28B5" w:rsidRDefault="00634706" w:rsidP="00EB28B5">
      <w:pPr>
        <w:spacing w:before="60"/>
        <w:rPr>
          <w:noProof/>
          <w:lang w:eastAsia="zh-CN"/>
        </w:rPr>
      </w:pPr>
      <w:r w:rsidRPr="00EB28B5">
        <w:rPr>
          <w:noProof/>
          <w:lang w:eastAsia="zh-CN"/>
        </w:rPr>
        <w:t>AIS-SART:Automatic identification system- search and rescue transmitters</w:t>
      </w:r>
    </w:p>
    <w:p w:rsidR="00634706" w:rsidRPr="00EB28B5" w:rsidRDefault="00634706" w:rsidP="00EB28B5">
      <w:pPr>
        <w:spacing w:before="60"/>
        <w:rPr>
          <w:noProof/>
          <w:lang w:eastAsia="zh-CN"/>
        </w:rPr>
      </w:pPr>
      <w:r w:rsidRPr="00EB28B5">
        <w:rPr>
          <w:noProof/>
          <w:lang w:eastAsia="zh-CN"/>
        </w:rPr>
        <w:t>AMRD:</w:t>
      </w:r>
      <w:r w:rsidRPr="00EB28B5">
        <w:rPr>
          <w:noProof/>
          <w:lang w:eastAsia="zh-CN"/>
        </w:rPr>
        <w:tab/>
        <w:t>Autonomous maritime radio device</w:t>
      </w:r>
    </w:p>
    <w:p w:rsidR="00634706" w:rsidRPr="00EB28B5" w:rsidRDefault="00634706" w:rsidP="00EB28B5">
      <w:pPr>
        <w:spacing w:before="60"/>
        <w:rPr>
          <w:noProof/>
          <w:lang w:eastAsia="zh-CN"/>
        </w:rPr>
      </w:pPr>
      <w:r w:rsidRPr="00EB28B5">
        <w:rPr>
          <w:noProof/>
          <w:lang w:eastAsia="zh-CN"/>
        </w:rPr>
        <w:t>AtoN:</w:t>
      </w:r>
      <w:r w:rsidRPr="00EB28B5">
        <w:rPr>
          <w:noProof/>
          <w:lang w:eastAsia="zh-CN"/>
        </w:rPr>
        <w:tab/>
        <w:t>Aid to navigation</w:t>
      </w:r>
    </w:p>
    <w:p w:rsidR="00634706" w:rsidRPr="00EB28B5" w:rsidRDefault="00634706" w:rsidP="00EB28B5">
      <w:pPr>
        <w:spacing w:before="60"/>
        <w:rPr>
          <w:noProof/>
          <w:lang w:eastAsia="zh-CN"/>
        </w:rPr>
      </w:pPr>
      <w:r w:rsidRPr="00EB28B5">
        <w:rPr>
          <w:noProof/>
          <w:lang w:eastAsia="zh-CN"/>
        </w:rPr>
        <w:t>DSC:</w:t>
      </w:r>
      <w:r w:rsidRPr="00EB28B5">
        <w:rPr>
          <w:noProof/>
          <w:lang w:eastAsia="zh-CN"/>
        </w:rPr>
        <w:tab/>
        <w:t>Digital selective calling</w:t>
      </w:r>
    </w:p>
    <w:p w:rsidR="00634706" w:rsidRPr="00EB28B5" w:rsidRDefault="00634706" w:rsidP="00EB28B5">
      <w:pPr>
        <w:spacing w:before="60"/>
        <w:rPr>
          <w:noProof/>
          <w:lang w:eastAsia="zh-CN"/>
        </w:rPr>
      </w:pPr>
      <w:r w:rsidRPr="00EB28B5">
        <w:rPr>
          <w:noProof/>
          <w:lang w:eastAsia="zh-CN"/>
        </w:rPr>
        <w:t>EPIRB:</w:t>
      </w:r>
      <w:r w:rsidRPr="00EB28B5">
        <w:rPr>
          <w:noProof/>
          <w:lang w:eastAsia="zh-CN"/>
        </w:rPr>
        <w:tab/>
        <w:t>Emergency position indicating radio beacon</w:t>
      </w:r>
    </w:p>
    <w:p w:rsidR="00634706" w:rsidRPr="00EB28B5" w:rsidRDefault="00634706" w:rsidP="00EB28B5">
      <w:pPr>
        <w:spacing w:before="60"/>
        <w:rPr>
          <w:noProof/>
          <w:lang w:eastAsia="zh-CN"/>
        </w:rPr>
      </w:pPr>
      <w:r w:rsidRPr="00EB28B5">
        <w:rPr>
          <w:noProof/>
          <w:lang w:eastAsia="zh-CN"/>
        </w:rPr>
        <w:t>GMDSS:</w:t>
      </w:r>
      <w:r w:rsidRPr="00EB28B5">
        <w:rPr>
          <w:noProof/>
          <w:lang w:eastAsia="zh-CN"/>
        </w:rPr>
        <w:tab/>
        <w:t>Global maritime distress and safety system</w:t>
      </w:r>
    </w:p>
    <w:p w:rsidR="00634706" w:rsidRPr="00EB28B5" w:rsidRDefault="00634706" w:rsidP="00EB28B5">
      <w:pPr>
        <w:spacing w:before="60"/>
        <w:rPr>
          <w:noProof/>
          <w:lang w:eastAsia="zh-CN"/>
        </w:rPr>
      </w:pPr>
      <w:r w:rsidRPr="00EB28B5">
        <w:rPr>
          <w:noProof/>
          <w:lang w:eastAsia="zh-CN"/>
        </w:rPr>
        <w:t>IMO:</w:t>
      </w:r>
      <w:r w:rsidRPr="00EB28B5">
        <w:rPr>
          <w:noProof/>
          <w:lang w:eastAsia="zh-CN"/>
        </w:rPr>
        <w:tab/>
        <w:t>International Maritime Organization</w:t>
      </w:r>
    </w:p>
    <w:p w:rsidR="00634706" w:rsidRPr="00EB28B5" w:rsidRDefault="00634706" w:rsidP="00EB28B5">
      <w:pPr>
        <w:spacing w:before="60"/>
        <w:rPr>
          <w:noProof/>
          <w:lang w:eastAsia="zh-CN"/>
        </w:rPr>
      </w:pPr>
      <w:r w:rsidRPr="00EB28B5">
        <w:rPr>
          <w:noProof/>
          <w:lang w:eastAsia="zh-CN"/>
        </w:rPr>
        <w:t>MID:</w:t>
      </w:r>
      <w:r w:rsidRPr="00EB28B5">
        <w:rPr>
          <w:noProof/>
          <w:lang w:eastAsia="zh-CN"/>
        </w:rPr>
        <w:tab/>
        <w:t>M</w:t>
      </w:r>
      <w:r w:rsidRPr="00EB28B5">
        <w:rPr>
          <w:noProof/>
        </w:rPr>
        <w:t>aritime indication digit[s]</w:t>
      </w:r>
    </w:p>
    <w:p w:rsidR="00634706" w:rsidRPr="00EB28B5" w:rsidRDefault="00634706" w:rsidP="00EB28B5">
      <w:pPr>
        <w:spacing w:before="60"/>
        <w:rPr>
          <w:noProof/>
          <w:lang w:eastAsia="zh-CN"/>
        </w:rPr>
      </w:pPr>
      <w:r w:rsidRPr="00EB28B5">
        <w:rPr>
          <w:noProof/>
          <w:lang w:eastAsia="zh-CN"/>
        </w:rPr>
        <w:t>MMSI:</w:t>
      </w:r>
      <w:r w:rsidRPr="00EB28B5">
        <w:rPr>
          <w:noProof/>
          <w:lang w:eastAsia="zh-CN"/>
        </w:rPr>
        <w:tab/>
        <w:t>Maritime mobile service identities</w:t>
      </w:r>
    </w:p>
    <w:p w:rsidR="00634706" w:rsidRPr="00EB28B5" w:rsidRDefault="00634706" w:rsidP="00EB28B5">
      <w:pPr>
        <w:spacing w:before="60"/>
        <w:rPr>
          <w:noProof/>
          <w:lang w:eastAsia="zh-CN"/>
        </w:rPr>
      </w:pPr>
      <w:r w:rsidRPr="00EB28B5">
        <w:rPr>
          <w:noProof/>
          <w:lang w:eastAsia="zh-CN"/>
        </w:rPr>
        <w:t>MOB:</w:t>
      </w:r>
      <w:r w:rsidRPr="00EB28B5">
        <w:rPr>
          <w:noProof/>
          <w:lang w:eastAsia="zh-CN"/>
        </w:rPr>
        <w:tab/>
        <w:t>Man overboard</w:t>
      </w:r>
    </w:p>
    <w:p w:rsidR="00A21D46" w:rsidRPr="00EB28B5" w:rsidRDefault="00A21D46" w:rsidP="00A21D46">
      <w:pPr>
        <w:rPr>
          <w:b/>
          <w:noProof/>
          <w:lang w:eastAsia="zh-CN"/>
        </w:rPr>
      </w:pPr>
      <w:r w:rsidRPr="00EB28B5">
        <w:rPr>
          <w:b/>
          <w:noProof/>
          <w:lang w:eastAsia="zh-CN"/>
        </w:rPr>
        <w:t>Related ITU Recommendations and Reports</w:t>
      </w:r>
    </w:p>
    <w:p w:rsidR="00A21D46" w:rsidRDefault="00A21D46" w:rsidP="00A21D46">
      <w:pPr>
        <w:rPr>
          <w:noProof/>
          <w:lang w:eastAsia="zh-CN"/>
        </w:rPr>
      </w:pPr>
      <w:r>
        <w:rPr>
          <w:noProof/>
          <w:lang w:eastAsia="zh-CN"/>
        </w:rPr>
        <w:t>Recommendations</w:t>
      </w:r>
    </w:p>
    <w:p w:rsidR="00A21D46" w:rsidRDefault="00921498" w:rsidP="00921498">
      <w:pPr>
        <w:pStyle w:val="enumlev1"/>
        <w:rPr>
          <w:noProof/>
        </w:rPr>
      </w:pPr>
      <w:r>
        <w:t>•</w:t>
      </w:r>
      <w:r>
        <w:tab/>
      </w:r>
      <w:hyperlink r:id="rId9" w:history="1">
        <w:r w:rsidR="00A21D46" w:rsidRPr="00EB28B5">
          <w:rPr>
            <w:rStyle w:val="Hyperlink"/>
            <w:noProof/>
          </w:rPr>
          <w:t>ITU-R M.</w:t>
        </w:r>
        <w:r w:rsidR="00A21D46" w:rsidRPr="00EB28B5">
          <w:rPr>
            <w:rStyle w:val="Hyperlink"/>
            <w:noProof/>
            <w:lang w:eastAsia="zh-CN"/>
          </w:rPr>
          <w:t>493</w:t>
        </w:r>
      </w:hyperlink>
      <w:r w:rsidR="00A21D46">
        <w:rPr>
          <w:noProof/>
          <w:lang w:eastAsia="zh-CN"/>
        </w:rPr>
        <w:t>:</w:t>
      </w:r>
      <w:r w:rsidR="00A21D46">
        <w:rPr>
          <w:noProof/>
          <w:lang w:eastAsia="zh-CN"/>
        </w:rPr>
        <w:tab/>
      </w:r>
      <w:r w:rsidR="00A21D46" w:rsidRPr="00EB28B5">
        <w:rPr>
          <w:noProof/>
          <w:lang w:eastAsia="zh-CN"/>
        </w:rPr>
        <w:t>Digital selective-calling system for use in the maritime mobile service</w:t>
      </w:r>
    </w:p>
    <w:p w:rsidR="00A21D46" w:rsidRDefault="00921498" w:rsidP="00921498">
      <w:pPr>
        <w:pStyle w:val="enumlev1"/>
        <w:rPr>
          <w:noProof/>
          <w:lang w:eastAsia="zh-CN"/>
        </w:rPr>
      </w:pPr>
      <w:r>
        <w:t>•</w:t>
      </w:r>
      <w:r>
        <w:tab/>
      </w:r>
      <w:hyperlink r:id="rId10" w:history="1">
        <w:r w:rsidR="00A21D46" w:rsidRPr="00EB28B5">
          <w:rPr>
            <w:rStyle w:val="Hyperlink"/>
            <w:noProof/>
          </w:rPr>
          <w:t>ITU-R M.585-7</w:t>
        </w:r>
      </w:hyperlink>
      <w:r w:rsidR="00A21D46">
        <w:rPr>
          <w:noProof/>
          <w:lang w:eastAsia="zh-CN"/>
        </w:rPr>
        <w:t>:</w:t>
      </w:r>
      <w:r w:rsidR="00A21D46">
        <w:rPr>
          <w:noProof/>
          <w:lang w:eastAsia="zh-CN"/>
        </w:rPr>
        <w:tab/>
      </w:r>
      <w:r w:rsidR="00A21D46" w:rsidRPr="00EB28B5">
        <w:rPr>
          <w:noProof/>
          <w:lang w:eastAsia="zh-CN"/>
        </w:rPr>
        <w:t xml:space="preserve">Assignment and use of identities in the maritime mobile service </w:t>
      </w:r>
    </w:p>
    <w:p w:rsidR="00A21D46" w:rsidRPr="00EB28B5" w:rsidRDefault="00921498" w:rsidP="00921498">
      <w:pPr>
        <w:pStyle w:val="enumlev1"/>
        <w:rPr>
          <w:noProof/>
          <w:lang w:eastAsia="zh-CN"/>
        </w:rPr>
      </w:pPr>
      <w:r>
        <w:t>•</w:t>
      </w:r>
      <w:r>
        <w:tab/>
      </w:r>
      <w:hyperlink r:id="rId11" w:history="1">
        <w:r w:rsidR="00A21D46" w:rsidRPr="00EB28B5">
          <w:rPr>
            <w:rStyle w:val="Hyperlink"/>
            <w:noProof/>
          </w:rPr>
          <w:t>ITU-R M.1371</w:t>
        </w:r>
      </w:hyperlink>
      <w:r w:rsidR="00A21D46">
        <w:rPr>
          <w:noProof/>
          <w:lang w:eastAsia="zh-CN"/>
        </w:rPr>
        <w:t>:</w:t>
      </w:r>
      <w:r w:rsidR="00A21D46">
        <w:rPr>
          <w:noProof/>
          <w:lang w:eastAsia="zh-CN"/>
        </w:rPr>
        <w:tab/>
      </w:r>
      <w:r w:rsidR="00A21D46" w:rsidRPr="00EB28B5">
        <w:rPr>
          <w:noProof/>
          <w:lang w:eastAsia="zh-CN"/>
        </w:rPr>
        <w:t xml:space="preserve">Technical characteristics for an automatic identification system using time-division multiple access in the VHF maritime mobile band </w:t>
      </w:r>
    </w:p>
    <w:p w:rsidR="00634706" w:rsidRPr="00EB28B5" w:rsidRDefault="00634706" w:rsidP="00634706">
      <w:pPr>
        <w:pStyle w:val="Heading1"/>
        <w:rPr>
          <w:noProof/>
        </w:rPr>
      </w:pPr>
      <w:r w:rsidRPr="00EB28B5">
        <w:rPr>
          <w:noProof/>
        </w:rPr>
        <w:t>1</w:t>
      </w:r>
      <w:r w:rsidRPr="00EB28B5">
        <w:rPr>
          <w:noProof/>
        </w:rPr>
        <w:tab/>
        <w:t>Background</w:t>
      </w:r>
    </w:p>
    <w:p w:rsidR="00634706" w:rsidRPr="00EB28B5" w:rsidRDefault="00634706" w:rsidP="00634706">
      <w:pPr>
        <w:rPr>
          <w:noProof/>
        </w:rPr>
      </w:pPr>
      <w:r w:rsidRPr="00EB28B5">
        <w:rPr>
          <w:noProof/>
        </w:rPr>
        <w:t xml:space="preserve">This report addresses Resolution </w:t>
      </w:r>
      <w:r w:rsidRPr="00EB28B5">
        <w:rPr>
          <w:b/>
          <w:noProof/>
        </w:rPr>
        <w:t>362 (WRC-15)</w:t>
      </w:r>
      <w:r w:rsidRPr="00EB28B5">
        <w:rPr>
          <w:noProof/>
        </w:rPr>
        <w:t xml:space="preserve"> which will be agenda item 1.9.1 at WRC-19.</w:t>
      </w:r>
    </w:p>
    <w:p w:rsidR="00634706" w:rsidRPr="00EB28B5" w:rsidRDefault="00634706" w:rsidP="00634706">
      <w:pPr>
        <w:rPr>
          <w:noProof/>
          <w:lang w:eastAsia="zh-CN"/>
        </w:rPr>
      </w:pPr>
      <w:r w:rsidRPr="00EB28B5">
        <w:rPr>
          <w:noProof/>
          <w:lang w:eastAsia="zh-CN"/>
        </w:rPr>
        <w:t>The aim of this agenda item is to prevent unregulated operation and identification of autonomous maritime radio devices (AMRDs) to enhance safety of navigation and to ensure the integrity of the global maritime distress and safety system (GMDSS) by addressing both the spectrum and numbering needs of AMRDs.</w:t>
      </w:r>
    </w:p>
    <w:p w:rsidR="00634706" w:rsidRPr="00EB28B5" w:rsidRDefault="00634706" w:rsidP="00634706">
      <w:pPr>
        <w:rPr>
          <w:noProof/>
          <w:lang w:eastAsia="zh-CN"/>
        </w:rPr>
      </w:pPr>
      <w:r w:rsidRPr="00EB28B5">
        <w:rPr>
          <w:noProof/>
          <w:lang w:eastAsia="zh-CN"/>
        </w:rPr>
        <w:t xml:space="preserve">There are more and more new AMRDs used in the maritime environment. Identifications of this kind of devices are needed. A rough survey shows that a lot of AMRDs are using maritime mobile service identities (MMSI) defined in the Recommendation </w:t>
      </w:r>
      <w:r w:rsidRPr="00E07CFB">
        <w:rPr>
          <w:noProof/>
        </w:rPr>
        <w:t>ITU-R M.585-7</w:t>
      </w:r>
      <w:r w:rsidRPr="00EB28B5">
        <w:rPr>
          <w:noProof/>
          <w:lang w:eastAsia="zh-CN"/>
        </w:rPr>
        <w:t xml:space="preserve">. The random consumption of MMSI hazards the assignment and management of the numbering system, and would threaten the safety of navigation. </w:t>
      </w:r>
    </w:p>
    <w:p w:rsidR="00634706" w:rsidRPr="00EB28B5" w:rsidRDefault="00634706" w:rsidP="00634706">
      <w:pPr>
        <w:rPr>
          <w:noProof/>
        </w:rPr>
      </w:pPr>
      <w:r w:rsidRPr="00EB28B5">
        <w:rPr>
          <w:noProof/>
        </w:rPr>
        <w:t xml:space="preserve">Recommendation </w:t>
      </w:r>
      <w:r w:rsidRPr="00E07CFB">
        <w:rPr>
          <w:noProof/>
        </w:rPr>
        <w:t>ITU-R M.585-7</w:t>
      </w:r>
      <w:r w:rsidRPr="00EB28B5">
        <w:rPr>
          <w:noProof/>
        </w:rPr>
        <w:t xml:space="preserve"> defines the existing numbering scheme used for automatic identification system (AIS) and digital selective calling (DSC) for both MMSI and freeform maritime identities. Numbers can be:</w:t>
      </w:r>
    </w:p>
    <w:p w:rsidR="00634706" w:rsidRPr="00EB28B5" w:rsidRDefault="00634706" w:rsidP="00634706">
      <w:pPr>
        <w:pStyle w:val="enumlev1"/>
        <w:rPr>
          <w:noProof/>
        </w:rPr>
      </w:pPr>
      <w:r w:rsidRPr="00EB28B5">
        <w:rPr>
          <w:noProof/>
        </w:rPr>
        <w:t>–</w:t>
      </w:r>
      <w:r w:rsidRPr="00EB28B5">
        <w:rPr>
          <w:noProof/>
        </w:rPr>
        <w:tab/>
        <w:t xml:space="preserve">uniquely allocated to a station; on board a vessel; a coast station; a group of stations; oran </w:t>
      </w:r>
      <w:r w:rsidR="00EB28B5">
        <w:rPr>
          <w:noProof/>
        </w:rPr>
        <w:t>a</w:t>
      </w:r>
      <w:r w:rsidRPr="00EB28B5">
        <w:rPr>
          <w:noProof/>
        </w:rPr>
        <w:t xml:space="preserve">id to </w:t>
      </w:r>
      <w:r w:rsidR="00EB28B5">
        <w:rPr>
          <w:noProof/>
        </w:rPr>
        <w:t>n</w:t>
      </w:r>
      <w:r w:rsidRPr="00EB28B5">
        <w:rPr>
          <w:noProof/>
        </w:rPr>
        <w:t>avigation (AtoN)</w:t>
      </w:r>
    </w:p>
    <w:p w:rsidR="00634706" w:rsidRPr="00EB28B5" w:rsidRDefault="00634706" w:rsidP="00634706">
      <w:pPr>
        <w:pStyle w:val="enumlev1"/>
        <w:rPr>
          <w:noProof/>
        </w:rPr>
      </w:pPr>
      <w:r w:rsidRPr="00EB28B5">
        <w:rPr>
          <w:noProof/>
        </w:rPr>
        <w:t>–</w:t>
      </w:r>
      <w:r w:rsidRPr="00EB28B5">
        <w:rPr>
          <w:noProof/>
        </w:rPr>
        <w:tab/>
        <w:t>allocated to one or more devices where the leading digits indicate the type of device but the users of the devices may have no relation to each other.</w:t>
      </w:r>
    </w:p>
    <w:p w:rsidR="00634706" w:rsidRPr="00EB28B5" w:rsidRDefault="00634706" w:rsidP="00634706">
      <w:pPr>
        <w:rPr>
          <w:noProof/>
        </w:rPr>
      </w:pPr>
      <w:r w:rsidRPr="00EB28B5">
        <w:rPr>
          <w:noProof/>
        </w:rPr>
        <w:t xml:space="preserve">Recommendation </w:t>
      </w:r>
      <w:r w:rsidRPr="00E07CFB">
        <w:rPr>
          <w:noProof/>
        </w:rPr>
        <w:t>ITU-R M.585-7</w:t>
      </w:r>
      <w:r w:rsidRPr="00EB28B5">
        <w:rPr>
          <w:noProof/>
        </w:rPr>
        <w:t xml:space="preserve"> defines numbering limited to certain types of device/use. </w:t>
      </w:r>
    </w:p>
    <w:p w:rsidR="00634706" w:rsidRPr="00EB28B5" w:rsidRDefault="00634706" w:rsidP="00634706">
      <w:pPr>
        <w:rPr>
          <w:noProof/>
        </w:rPr>
      </w:pPr>
      <w:r w:rsidRPr="00EB28B5">
        <w:rPr>
          <w:noProof/>
        </w:rPr>
        <w:t xml:space="preserve">WRC-19 AI 1.9.1 considers changes to Radio Regulations to support AMRDs. This will almost certainly include novel uses of AIS not presently described in Recommendation </w:t>
      </w:r>
      <w:r w:rsidRPr="00E07CFB">
        <w:rPr>
          <w:noProof/>
        </w:rPr>
        <w:t>ITU-R M.585-7</w:t>
      </w:r>
      <w:r w:rsidRPr="00EB28B5">
        <w:rPr>
          <w:noProof/>
        </w:rPr>
        <w:t>. Where the changes include a new frequency allocation it may be desirable for a different form of transmitted identification to be used.</w:t>
      </w:r>
    </w:p>
    <w:p w:rsidR="00634706" w:rsidRPr="00EB28B5" w:rsidRDefault="00634706" w:rsidP="00634706">
      <w:pPr>
        <w:pStyle w:val="Heading1"/>
        <w:rPr>
          <w:noProof/>
        </w:rPr>
      </w:pPr>
      <w:r w:rsidRPr="00EB28B5">
        <w:rPr>
          <w:noProof/>
        </w:rPr>
        <w:t>2</w:t>
      </w:r>
      <w:r w:rsidRPr="00EB28B5">
        <w:rPr>
          <w:noProof/>
        </w:rPr>
        <w:tab/>
        <w:t>Discussion</w:t>
      </w:r>
    </w:p>
    <w:p w:rsidR="00634706" w:rsidRPr="00EB28B5" w:rsidRDefault="00634706" w:rsidP="00634706">
      <w:pPr>
        <w:rPr>
          <w:noProof/>
          <w:lang w:eastAsia="zh-CN"/>
        </w:rPr>
      </w:pPr>
      <w:r w:rsidRPr="00EB28B5">
        <w:rPr>
          <w:noProof/>
          <w:lang w:eastAsia="zh-CN"/>
        </w:rPr>
        <w:t>The existing numbering system of maritime mobile service is defined in the Recommendation</w:t>
      </w:r>
      <w:r w:rsidRPr="00EB28B5">
        <w:rPr>
          <w:noProof/>
          <w:lang w:eastAsia="zh-CN"/>
        </w:rPr>
        <w:br/>
      </w:r>
      <w:r w:rsidRPr="00E07CFB">
        <w:rPr>
          <w:noProof/>
        </w:rPr>
        <w:t>ITU-R M.585-7</w:t>
      </w:r>
      <w:r w:rsidRPr="00EB28B5">
        <w:rPr>
          <w:noProof/>
          <w:lang w:eastAsia="zh-CN"/>
        </w:rPr>
        <w:t xml:space="preserve"> with three Annexes. </w:t>
      </w:r>
    </w:p>
    <w:p w:rsidR="00634706" w:rsidRPr="00EB28B5" w:rsidRDefault="00634706" w:rsidP="00634706">
      <w:pPr>
        <w:rPr>
          <w:caps/>
          <w:noProof/>
          <w:sz w:val="20"/>
        </w:rPr>
      </w:pPr>
      <w:r w:rsidRPr="00EB28B5">
        <w:rPr>
          <w:noProof/>
        </w:rPr>
        <w:t xml:space="preserve">Annex 1 describes formats </w:t>
      </w:r>
      <w:r w:rsidRPr="00EB28B5">
        <w:rPr>
          <w:noProof/>
          <w:lang w:eastAsia="zh-CN"/>
        </w:rPr>
        <w:t>of</w:t>
      </w:r>
      <w:r w:rsidRPr="00EB28B5">
        <w:rPr>
          <w:noProof/>
        </w:rPr>
        <w:t xml:space="preserve"> MMSI </w:t>
      </w:r>
      <w:r w:rsidRPr="00EB28B5">
        <w:rPr>
          <w:noProof/>
          <w:lang w:eastAsia="zh-CN"/>
        </w:rPr>
        <w:t>for</w:t>
      </w:r>
      <w:r w:rsidRPr="00EB28B5">
        <w:rPr>
          <w:noProof/>
        </w:rPr>
        <w:t xml:space="preserve"> ship stations, coast stations, aircraft</w:t>
      </w:r>
      <w:r w:rsidRPr="00EB28B5">
        <w:rPr>
          <w:noProof/>
          <w:lang w:eastAsia="zh-CN"/>
        </w:rPr>
        <w:t>s</w:t>
      </w:r>
      <w:r w:rsidRPr="00EB28B5">
        <w:rPr>
          <w:noProof/>
        </w:rPr>
        <w:t xml:space="preserve"> participating in search and rescue operations and other safety-related communications, AIS,</w:t>
      </w:r>
      <w:r w:rsidRPr="00EB28B5">
        <w:rPr>
          <w:noProof/>
          <w:lang w:eastAsia="zh-CN"/>
        </w:rPr>
        <w:t>AtoN</w:t>
      </w:r>
      <w:r w:rsidRPr="00EB28B5">
        <w:rPr>
          <w:noProof/>
        </w:rPr>
        <w:t>, and craft</w:t>
      </w:r>
      <w:r w:rsidRPr="00EB28B5">
        <w:rPr>
          <w:noProof/>
          <w:lang w:eastAsia="zh-CN"/>
        </w:rPr>
        <w:t>s</w:t>
      </w:r>
      <w:r w:rsidRPr="00EB28B5">
        <w:rPr>
          <w:noProof/>
        </w:rPr>
        <w:t xml:space="preserve"> associated with a parent ship</w:t>
      </w:r>
      <w:r w:rsidRPr="00EB28B5">
        <w:rPr>
          <w:noProof/>
          <w:lang w:eastAsia="zh-CN"/>
        </w:rPr>
        <w:t>, summarized as following Table 1.</w:t>
      </w:r>
    </w:p>
    <w:p w:rsidR="00634706" w:rsidRPr="00EB28B5" w:rsidRDefault="00634706" w:rsidP="00634706">
      <w:pPr>
        <w:pStyle w:val="TableNo"/>
        <w:rPr>
          <w:noProof/>
        </w:rPr>
      </w:pPr>
      <w:r w:rsidRPr="00EB28B5">
        <w:rPr>
          <w:noProof/>
        </w:rPr>
        <w:t>Table</w:t>
      </w:r>
      <w:r w:rsidR="00921498">
        <w:rPr>
          <w:noProof/>
        </w:rPr>
        <w:t xml:space="preserve"> </w:t>
      </w:r>
      <w:r w:rsidRPr="00EB28B5">
        <w:rPr>
          <w:noProof/>
        </w:rPr>
        <w:t>1</w:t>
      </w:r>
    </w:p>
    <w:p w:rsidR="00634706" w:rsidRPr="00EB28B5" w:rsidRDefault="00634706" w:rsidP="00634706">
      <w:pPr>
        <w:pStyle w:val="Tabletitle"/>
        <w:rPr>
          <w:noProof/>
        </w:rPr>
      </w:pPr>
      <w:r w:rsidRPr="00EB28B5">
        <w:rPr>
          <w:noProof/>
        </w:rPr>
        <w:t>The current assignment and use ofmaritime mobile service identities</w:t>
      </w:r>
    </w:p>
    <w:tbl>
      <w:tblPr>
        <w:tblW w:w="87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1984"/>
        <w:gridCol w:w="2410"/>
        <w:gridCol w:w="3289"/>
      </w:tblGrid>
      <w:tr w:rsidR="00634706" w:rsidRPr="00EB28B5" w:rsidTr="00C015D4">
        <w:trPr>
          <w:jc w:val="center"/>
        </w:trPr>
        <w:tc>
          <w:tcPr>
            <w:tcW w:w="1101" w:type="dxa"/>
          </w:tcPr>
          <w:p w:rsidR="00634706" w:rsidRPr="00EB28B5" w:rsidRDefault="00634706" w:rsidP="00C015D4">
            <w:pPr>
              <w:pStyle w:val="Tablehead"/>
              <w:rPr>
                <w:noProof/>
              </w:rPr>
            </w:pPr>
            <w:r w:rsidRPr="00EB28B5">
              <w:rPr>
                <w:noProof/>
              </w:rPr>
              <w:t>Prefix</w:t>
            </w:r>
          </w:p>
        </w:tc>
        <w:tc>
          <w:tcPr>
            <w:tcW w:w="1984" w:type="dxa"/>
          </w:tcPr>
          <w:p w:rsidR="00634706" w:rsidRPr="00EB28B5" w:rsidRDefault="00634706" w:rsidP="00C015D4">
            <w:pPr>
              <w:pStyle w:val="Tablehead"/>
              <w:rPr>
                <w:noProof/>
              </w:rPr>
            </w:pPr>
            <w:r w:rsidRPr="00EB28B5">
              <w:rPr>
                <w:noProof/>
              </w:rPr>
              <w:t>Use for</w:t>
            </w:r>
          </w:p>
        </w:tc>
        <w:tc>
          <w:tcPr>
            <w:tcW w:w="2410" w:type="dxa"/>
          </w:tcPr>
          <w:p w:rsidR="00634706" w:rsidRPr="00EB28B5" w:rsidRDefault="00634706" w:rsidP="00C015D4">
            <w:pPr>
              <w:pStyle w:val="Tablehead"/>
              <w:rPr>
                <w:noProof/>
              </w:rPr>
            </w:pPr>
            <w:r w:rsidRPr="00EB28B5">
              <w:rPr>
                <w:noProof/>
              </w:rPr>
              <w:t>Max capability for a single MID</w:t>
            </w:r>
          </w:p>
        </w:tc>
        <w:tc>
          <w:tcPr>
            <w:tcW w:w="3289" w:type="dxa"/>
          </w:tcPr>
          <w:p w:rsidR="00634706" w:rsidRPr="00EB28B5" w:rsidRDefault="00634706" w:rsidP="00C015D4">
            <w:pPr>
              <w:pStyle w:val="Tablehead"/>
              <w:rPr>
                <w:noProof/>
              </w:rPr>
            </w:pPr>
            <w:r w:rsidRPr="00EB28B5">
              <w:rPr>
                <w:noProof/>
              </w:rPr>
              <w:t>Remarks</w:t>
            </w:r>
          </w:p>
        </w:tc>
      </w:tr>
      <w:tr w:rsidR="00634706" w:rsidRPr="00EB28B5" w:rsidTr="00C015D4">
        <w:trPr>
          <w:jc w:val="center"/>
        </w:trPr>
        <w:tc>
          <w:tcPr>
            <w:tcW w:w="1101" w:type="dxa"/>
          </w:tcPr>
          <w:p w:rsidR="00634706" w:rsidRPr="00EB28B5" w:rsidRDefault="00634706" w:rsidP="00C015D4">
            <w:pPr>
              <w:pStyle w:val="Tabletext"/>
              <w:rPr>
                <w:noProof/>
                <w:lang w:eastAsia="zh-CN"/>
              </w:rPr>
            </w:pPr>
            <w:r w:rsidRPr="00EB28B5">
              <w:rPr>
                <w:noProof/>
                <w:lang w:eastAsia="zh-CN"/>
              </w:rPr>
              <w:t>MID</w:t>
            </w:r>
          </w:p>
        </w:tc>
        <w:tc>
          <w:tcPr>
            <w:tcW w:w="1984" w:type="dxa"/>
          </w:tcPr>
          <w:p w:rsidR="00634706" w:rsidRPr="00EB28B5" w:rsidRDefault="00634706" w:rsidP="00C015D4">
            <w:pPr>
              <w:pStyle w:val="Tabletext"/>
              <w:rPr>
                <w:noProof/>
              </w:rPr>
            </w:pPr>
            <w:r w:rsidRPr="00EB28B5">
              <w:rPr>
                <w:noProof/>
              </w:rPr>
              <w:t>Shipstation</w:t>
            </w:r>
          </w:p>
        </w:tc>
        <w:tc>
          <w:tcPr>
            <w:tcW w:w="2410" w:type="dxa"/>
          </w:tcPr>
          <w:p w:rsidR="00634706" w:rsidRPr="00EB28B5" w:rsidRDefault="00634706" w:rsidP="00C015D4">
            <w:pPr>
              <w:pStyle w:val="Tabletext"/>
              <w:rPr>
                <w:noProof/>
              </w:rPr>
            </w:pPr>
            <w:r w:rsidRPr="00EB28B5">
              <w:rPr>
                <w:noProof/>
              </w:rPr>
              <w:t>1 000 (with 000trailing)</w:t>
            </w:r>
          </w:p>
          <w:p w:rsidR="00634706" w:rsidRPr="00EB28B5" w:rsidRDefault="00634706" w:rsidP="00C015D4">
            <w:pPr>
              <w:pStyle w:val="Tabletext"/>
              <w:rPr>
                <w:noProof/>
              </w:rPr>
            </w:pPr>
            <w:r w:rsidRPr="00EB28B5">
              <w:rPr>
                <w:noProof/>
              </w:rPr>
              <w:t>1 000 000 (all)</w:t>
            </w:r>
          </w:p>
        </w:tc>
        <w:tc>
          <w:tcPr>
            <w:tcW w:w="3289" w:type="dxa"/>
          </w:tcPr>
          <w:p w:rsidR="00634706" w:rsidRPr="00EB28B5" w:rsidRDefault="00634706" w:rsidP="00C015D4">
            <w:pPr>
              <w:pStyle w:val="Tabletext"/>
              <w:rPr>
                <w:noProof/>
              </w:rPr>
            </w:pPr>
            <w:r w:rsidRPr="00EB28B5">
              <w:rPr>
                <w:noProof/>
              </w:rPr>
              <w:t>Threezeroes trailing MMSI</w:t>
            </w:r>
            <w:r w:rsidRPr="00EB28B5">
              <w:rPr>
                <w:noProof/>
                <w:lang w:eastAsia="zh-CN"/>
              </w:rPr>
              <w:t>s</w:t>
            </w:r>
            <w:r w:rsidRPr="00EB28B5">
              <w:rPr>
                <w:noProof/>
              </w:rPr>
              <w:t xml:space="preserve"> are assigned to ships needing the internationalpublic correspondence service</w:t>
            </w:r>
          </w:p>
        </w:tc>
      </w:tr>
      <w:tr w:rsidR="00634706" w:rsidRPr="00EB28B5" w:rsidTr="00C015D4">
        <w:trPr>
          <w:jc w:val="center"/>
        </w:trPr>
        <w:tc>
          <w:tcPr>
            <w:tcW w:w="1101" w:type="dxa"/>
          </w:tcPr>
          <w:p w:rsidR="00634706" w:rsidRPr="00EB28B5" w:rsidRDefault="00634706" w:rsidP="00C015D4">
            <w:pPr>
              <w:pStyle w:val="Tabletext"/>
              <w:rPr>
                <w:noProof/>
                <w:lang w:eastAsia="zh-CN"/>
              </w:rPr>
            </w:pPr>
            <w:r w:rsidRPr="00EB28B5">
              <w:rPr>
                <w:noProof/>
              </w:rPr>
              <w:t>0</w:t>
            </w:r>
            <w:r w:rsidRPr="00EB28B5">
              <w:rPr>
                <w:noProof/>
                <w:lang w:eastAsia="zh-CN"/>
              </w:rPr>
              <w:t xml:space="preserve"> MID</w:t>
            </w:r>
          </w:p>
        </w:tc>
        <w:tc>
          <w:tcPr>
            <w:tcW w:w="1984" w:type="dxa"/>
          </w:tcPr>
          <w:p w:rsidR="00634706" w:rsidRPr="00EB28B5" w:rsidRDefault="00634706" w:rsidP="00C015D4">
            <w:pPr>
              <w:pStyle w:val="Tabletext"/>
              <w:rPr>
                <w:noProof/>
              </w:rPr>
            </w:pPr>
            <w:r w:rsidRPr="00EB28B5">
              <w:rPr>
                <w:noProof/>
              </w:rPr>
              <w:t>Group call identities for ship station</w:t>
            </w:r>
          </w:p>
        </w:tc>
        <w:tc>
          <w:tcPr>
            <w:tcW w:w="2410" w:type="dxa"/>
          </w:tcPr>
          <w:p w:rsidR="00634706" w:rsidRPr="00EB28B5" w:rsidRDefault="00634706" w:rsidP="00C015D4">
            <w:pPr>
              <w:pStyle w:val="Tabletext"/>
              <w:rPr>
                <w:noProof/>
              </w:rPr>
            </w:pPr>
            <w:r w:rsidRPr="00EB28B5">
              <w:rPr>
                <w:noProof/>
              </w:rPr>
              <w:t>100 000</w:t>
            </w:r>
          </w:p>
        </w:tc>
        <w:tc>
          <w:tcPr>
            <w:tcW w:w="3289" w:type="dxa"/>
          </w:tcPr>
          <w:p w:rsidR="00634706" w:rsidRPr="00EB28B5" w:rsidRDefault="00634706" w:rsidP="00C015D4">
            <w:pPr>
              <w:pStyle w:val="Tabletext"/>
              <w:rPr>
                <w:noProof/>
              </w:rPr>
            </w:pPr>
          </w:p>
        </w:tc>
      </w:tr>
      <w:tr w:rsidR="00634706" w:rsidRPr="00EB28B5" w:rsidTr="00C015D4">
        <w:trPr>
          <w:jc w:val="center"/>
        </w:trPr>
        <w:tc>
          <w:tcPr>
            <w:tcW w:w="1101" w:type="dxa"/>
          </w:tcPr>
          <w:p w:rsidR="00634706" w:rsidRPr="00EB28B5" w:rsidRDefault="00634706" w:rsidP="00C015D4">
            <w:pPr>
              <w:pStyle w:val="Tabletext"/>
              <w:rPr>
                <w:noProof/>
                <w:lang w:eastAsia="zh-CN"/>
              </w:rPr>
            </w:pPr>
            <w:r w:rsidRPr="00EB28B5">
              <w:rPr>
                <w:noProof/>
              </w:rPr>
              <w:t>00</w:t>
            </w:r>
            <w:r w:rsidRPr="00EB28B5">
              <w:rPr>
                <w:noProof/>
                <w:lang w:eastAsia="zh-CN"/>
              </w:rPr>
              <w:t xml:space="preserve"> MID</w:t>
            </w:r>
          </w:p>
        </w:tc>
        <w:tc>
          <w:tcPr>
            <w:tcW w:w="1984" w:type="dxa"/>
          </w:tcPr>
          <w:p w:rsidR="00634706" w:rsidRPr="00EB28B5" w:rsidRDefault="00634706" w:rsidP="00C015D4">
            <w:pPr>
              <w:pStyle w:val="Tabletext"/>
              <w:rPr>
                <w:noProof/>
              </w:rPr>
            </w:pPr>
            <w:r w:rsidRPr="00EB28B5">
              <w:rPr>
                <w:noProof/>
              </w:rPr>
              <w:t>Coast station</w:t>
            </w:r>
          </w:p>
        </w:tc>
        <w:tc>
          <w:tcPr>
            <w:tcW w:w="2410" w:type="dxa"/>
          </w:tcPr>
          <w:p w:rsidR="00634706" w:rsidRPr="00EB28B5" w:rsidRDefault="00634706" w:rsidP="00C015D4">
            <w:pPr>
              <w:pStyle w:val="Tabletext"/>
              <w:rPr>
                <w:noProof/>
              </w:rPr>
            </w:pPr>
            <w:r w:rsidRPr="00EB28B5">
              <w:rPr>
                <w:noProof/>
              </w:rPr>
              <w:t>10 000</w:t>
            </w:r>
          </w:p>
        </w:tc>
        <w:tc>
          <w:tcPr>
            <w:tcW w:w="3289" w:type="dxa"/>
          </w:tcPr>
          <w:p w:rsidR="00634706" w:rsidRPr="00EB28B5" w:rsidRDefault="00634706" w:rsidP="00C015D4">
            <w:pPr>
              <w:pStyle w:val="Tabletext"/>
              <w:rPr>
                <w:noProof/>
              </w:rPr>
            </w:pPr>
          </w:p>
        </w:tc>
      </w:tr>
      <w:tr w:rsidR="00634706" w:rsidRPr="00EB28B5" w:rsidTr="00C015D4">
        <w:trPr>
          <w:jc w:val="center"/>
        </w:trPr>
        <w:tc>
          <w:tcPr>
            <w:tcW w:w="1101" w:type="dxa"/>
          </w:tcPr>
          <w:p w:rsidR="00634706" w:rsidRPr="00EB28B5" w:rsidRDefault="00634706" w:rsidP="00C015D4">
            <w:pPr>
              <w:pStyle w:val="Tabletext"/>
              <w:rPr>
                <w:noProof/>
                <w:lang w:eastAsia="zh-CN"/>
              </w:rPr>
            </w:pPr>
            <w:r w:rsidRPr="00EB28B5">
              <w:rPr>
                <w:noProof/>
              </w:rPr>
              <w:t>111</w:t>
            </w:r>
            <w:r w:rsidRPr="00EB28B5">
              <w:rPr>
                <w:noProof/>
                <w:lang w:eastAsia="zh-CN"/>
              </w:rPr>
              <w:t xml:space="preserve"> MID</w:t>
            </w:r>
          </w:p>
        </w:tc>
        <w:tc>
          <w:tcPr>
            <w:tcW w:w="1984" w:type="dxa"/>
          </w:tcPr>
          <w:p w:rsidR="00634706" w:rsidRPr="00EB28B5" w:rsidRDefault="00634706" w:rsidP="00C015D4">
            <w:pPr>
              <w:pStyle w:val="Tabletext"/>
              <w:rPr>
                <w:noProof/>
              </w:rPr>
            </w:pPr>
            <w:r w:rsidRPr="00EB28B5">
              <w:rPr>
                <w:noProof/>
              </w:rPr>
              <w:t>SAR aircraft</w:t>
            </w:r>
          </w:p>
        </w:tc>
        <w:tc>
          <w:tcPr>
            <w:tcW w:w="2410" w:type="dxa"/>
          </w:tcPr>
          <w:p w:rsidR="00634706" w:rsidRPr="00EB28B5" w:rsidRDefault="00634706" w:rsidP="00C015D4">
            <w:pPr>
              <w:pStyle w:val="Tabletext"/>
              <w:rPr>
                <w:noProof/>
              </w:rPr>
            </w:pPr>
            <w:r w:rsidRPr="00EB28B5">
              <w:rPr>
                <w:noProof/>
              </w:rPr>
              <w:t>1 000</w:t>
            </w:r>
          </w:p>
        </w:tc>
        <w:tc>
          <w:tcPr>
            <w:tcW w:w="3289" w:type="dxa"/>
          </w:tcPr>
          <w:p w:rsidR="00634706" w:rsidRPr="00EB28B5" w:rsidRDefault="00634706" w:rsidP="00C015D4">
            <w:pPr>
              <w:pStyle w:val="Tabletext"/>
              <w:rPr>
                <w:noProof/>
              </w:rPr>
            </w:pPr>
          </w:p>
        </w:tc>
      </w:tr>
      <w:tr w:rsidR="00634706" w:rsidRPr="00EB28B5" w:rsidTr="00C015D4">
        <w:trPr>
          <w:jc w:val="center"/>
        </w:trPr>
        <w:tc>
          <w:tcPr>
            <w:tcW w:w="1101" w:type="dxa"/>
          </w:tcPr>
          <w:p w:rsidR="00634706" w:rsidRPr="00EB28B5" w:rsidRDefault="00634706" w:rsidP="00C015D4">
            <w:pPr>
              <w:pStyle w:val="Tabletext"/>
              <w:rPr>
                <w:noProof/>
                <w:lang w:eastAsia="zh-CN"/>
              </w:rPr>
            </w:pPr>
            <w:r w:rsidRPr="00EB28B5">
              <w:rPr>
                <w:noProof/>
              </w:rPr>
              <w:t>99</w:t>
            </w:r>
            <w:r w:rsidRPr="00EB28B5">
              <w:rPr>
                <w:noProof/>
                <w:lang w:eastAsia="zh-CN"/>
              </w:rPr>
              <w:t xml:space="preserve"> MID</w:t>
            </w:r>
          </w:p>
        </w:tc>
        <w:tc>
          <w:tcPr>
            <w:tcW w:w="1984" w:type="dxa"/>
          </w:tcPr>
          <w:p w:rsidR="00634706" w:rsidRPr="00EB28B5" w:rsidRDefault="00634706" w:rsidP="00C015D4">
            <w:pPr>
              <w:pStyle w:val="Tabletext"/>
              <w:rPr>
                <w:noProof/>
              </w:rPr>
            </w:pPr>
            <w:r w:rsidRPr="00EB28B5">
              <w:rPr>
                <w:noProof/>
              </w:rPr>
              <w:t>AIS AtoN</w:t>
            </w:r>
          </w:p>
        </w:tc>
        <w:tc>
          <w:tcPr>
            <w:tcW w:w="2410" w:type="dxa"/>
          </w:tcPr>
          <w:p w:rsidR="00634706" w:rsidRPr="00EB28B5" w:rsidRDefault="00634706" w:rsidP="00C015D4">
            <w:pPr>
              <w:pStyle w:val="Tabletext"/>
              <w:rPr>
                <w:noProof/>
              </w:rPr>
            </w:pPr>
            <w:r w:rsidRPr="00EB28B5">
              <w:rPr>
                <w:noProof/>
              </w:rPr>
              <w:t>10 000</w:t>
            </w:r>
          </w:p>
        </w:tc>
        <w:tc>
          <w:tcPr>
            <w:tcW w:w="3289" w:type="dxa"/>
          </w:tcPr>
          <w:p w:rsidR="00634706" w:rsidRPr="00EB28B5" w:rsidRDefault="00634706" w:rsidP="00C015D4">
            <w:pPr>
              <w:pStyle w:val="Tabletext"/>
              <w:rPr>
                <w:noProof/>
              </w:rPr>
            </w:pPr>
          </w:p>
        </w:tc>
      </w:tr>
      <w:tr w:rsidR="00634706" w:rsidRPr="00EB28B5" w:rsidTr="00C015D4">
        <w:trPr>
          <w:jc w:val="center"/>
        </w:trPr>
        <w:tc>
          <w:tcPr>
            <w:tcW w:w="1101" w:type="dxa"/>
          </w:tcPr>
          <w:p w:rsidR="00634706" w:rsidRPr="00EB28B5" w:rsidRDefault="00634706" w:rsidP="00C015D4">
            <w:pPr>
              <w:pStyle w:val="Tabletext"/>
              <w:rPr>
                <w:noProof/>
                <w:lang w:eastAsia="zh-CN"/>
              </w:rPr>
            </w:pPr>
            <w:r w:rsidRPr="00EB28B5">
              <w:rPr>
                <w:noProof/>
              </w:rPr>
              <w:t>98</w:t>
            </w:r>
            <w:r w:rsidRPr="00EB28B5">
              <w:rPr>
                <w:noProof/>
                <w:lang w:eastAsia="zh-CN"/>
              </w:rPr>
              <w:t xml:space="preserve"> MID</w:t>
            </w:r>
          </w:p>
        </w:tc>
        <w:tc>
          <w:tcPr>
            <w:tcW w:w="1984" w:type="dxa"/>
          </w:tcPr>
          <w:p w:rsidR="00634706" w:rsidRPr="00EB28B5" w:rsidRDefault="00634706" w:rsidP="00C015D4">
            <w:pPr>
              <w:pStyle w:val="Tabletext"/>
              <w:rPr>
                <w:noProof/>
              </w:rPr>
            </w:pPr>
            <w:r w:rsidRPr="00EB28B5">
              <w:rPr>
                <w:noProof/>
              </w:rPr>
              <w:t>Craftassociated with a parent ship</w:t>
            </w:r>
          </w:p>
        </w:tc>
        <w:tc>
          <w:tcPr>
            <w:tcW w:w="2410" w:type="dxa"/>
          </w:tcPr>
          <w:p w:rsidR="00634706" w:rsidRPr="00EB28B5" w:rsidRDefault="00634706" w:rsidP="00C015D4">
            <w:pPr>
              <w:pStyle w:val="Tabletext"/>
              <w:rPr>
                <w:noProof/>
              </w:rPr>
            </w:pPr>
            <w:r w:rsidRPr="00EB28B5">
              <w:rPr>
                <w:noProof/>
              </w:rPr>
              <w:t>10 000</w:t>
            </w:r>
          </w:p>
        </w:tc>
        <w:tc>
          <w:tcPr>
            <w:tcW w:w="3289" w:type="dxa"/>
          </w:tcPr>
          <w:p w:rsidR="00634706" w:rsidRPr="00EB28B5" w:rsidRDefault="00634706" w:rsidP="00C015D4">
            <w:pPr>
              <w:pStyle w:val="Tabletext"/>
              <w:rPr>
                <w:noProof/>
              </w:rPr>
            </w:pPr>
          </w:p>
        </w:tc>
      </w:tr>
    </w:tbl>
    <w:p w:rsidR="00634706" w:rsidRPr="00EB28B5" w:rsidRDefault="00634706" w:rsidP="00634706">
      <w:pPr>
        <w:pStyle w:val="Tablefin"/>
        <w:rPr>
          <w:noProof/>
        </w:rPr>
      </w:pPr>
    </w:p>
    <w:p w:rsidR="00AF296B" w:rsidRPr="00EB28B5" w:rsidRDefault="00634706" w:rsidP="00E07CFB">
      <w:pPr>
        <w:rPr>
          <w:noProof/>
        </w:rPr>
      </w:pPr>
      <w:r w:rsidRPr="00EB28B5">
        <w:rPr>
          <w:noProof/>
        </w:rPr>
        <w:t>The maritime indication digit[s] (MID</w:t>
      </w:r>
      <w:r w:rsidRPr="00EB28B5">
        <w:rPr>
          <w:noProof/>
          <w:lang w:eastAsia="zh-CN"/>
        </w:rPr>
        <w:t xml:space="preserve">) </w:t>
      </w:r>
      <w:r w:rsidRPr="00EB28B5">
        <w:rPr>
          <w:rFonts w:eastAsia="Batang"/>
          <w:noProof/>
        </w:rPr>
        <w:t xml:space="preserve">denotes the administration </w:t>
      </w:r>
      <w:r w:rsidRPr="00EB28B5">
        <w:rPr>
          <w:noProof/>
          <w:lang w:eastAsia="zh-CN"/>
        </w:rPr>
        <w:t>which has</w:t>
      </w:r>
      <w:r w:rsidRPr="00EB28B5">
        <w:rPr>
          <w:rFonts w:eastAsia="Batang"/>
          <w:noProof/>
        </w:rPr>
        <w:t xml:space="preserve"> jurisdiction over the station so identified</w:t>
      </w:r>
      <w:r w:rsidRPr="00EB28B5">
        <w:rPr>
          <w:noProof/>
        </w:rPr>
        <w:t>.</w:t>
      </w:r>
    </w:p>
    <w:p w:rsidR="00634706" w:rsidRPr="00EB28B5" w:rsidRDefault="00634706" w:rsidP="00634706">
      <w:pPr>
        <w:rPr>
          <w:noProof/>
          <w:lang w:eastAsia="zh-CN"/>
        </w:rPr>
      </w:pPr>
      <w:r w:rsidRPr="00EB28B5">
        <w:rPr>
          <w:noProof/>
        </w:rPr>
        <w:t xml:space="preserve">Annex 2 describes formats </w:t>
      </w:r>
      <w:r w:rsidRPr="00EB28B5">
        <w:rPr>
          <w:noProof/>
          <w:lang w:eastAsia="zh-CN"/>
        </w:rPr>
        <w:t>of</w:t>
      </w:r>
      <w:r w:rsidRPr="00EB28B5">
        <w:rPr>
          <w:noProof/>
        </w:rPr>
        <w:t xml:space="preserve"> identification </w:t>
      </w:r>
      <w:r w:rsidRPr="00EB28B5">
        <w:rPr>
          <w:noProof/>
          <w:lang w:eastAsia="zh-CN"/>
        </w:rPr>
        <w:t>for</w:t>
      </w:r>
      <w:r w:rsidRPr="00EB28B5">
        <w:rPr>
          <w:noProof/>
        </w:rPr>
        <w:t xml:space="preserve"> other maritime devices, such as handheld VHF transceivers with DSC and global navigation satellite system, AIS-search and rescue transmitter</w:t>
      </w:r>
      <w:r w:rsidRPr="00EB28B5">
        <w:rPr>
          <w:noProof/>
          <w:lang w:eastAsia="zh-CN"/>
        </w:rPr>
        <w:t>s</w:t>
      </w:r>
      <w:r w:rsidRPr="00EB28B5">
        <w:rPr>
          <w:noProof/>
        </w:rPr>
        <w:t xml:space="preserve"> (AIS-SART), man overboard (MOB) and emergency position indicating radio beacon (EPIRB)</w:t>
      </w:r>
      <w:r w:rsidRPr="00EB28B5">
        <w:rPr>
          <w:noProof/>
        </w:rPr>
        <w:noBreakHyphen/>
        <w:t>AIS</w:t>
      </w:r>
      <w:r w:rsidRPr="00EB28B5">
        <w:rPr>
          <w:noProof/>
          <w:lang w:eastAsia="zh-CN"/>
        </w:rPr>
        <w:t>, summarized as following Table</w:t>
      </w:r>
      <w:r w:rsidR="00921498">
        <w:rPr>
          <w:noProof/>
          <w:lang w:eastAsia="zh-CN"/>
        </w:rPr>
        <w:t xml:space="preserve"> </w:t>
      </w:r>
      <w:r w:rsidRPr="00EB28B5">
        <w:rPr>
          <w:noProof/>
          <w:lang w:eastAsia="zh-CN"/>
        </w:rPr>
        <w:t>2.</w:t>
      </w:r>
    </w:p>
    <w:p w:rsidR="00634706" w:rsidRPr="00EB28B5" w:rsidRDefault="00634706" w:rsidP="00634706">
      <w:pPr>
        <w:pStyle w:val="TableNo"/>
        <w:rPr>
          <w:noProof/>
          <w:lang w:eastAsia="zh-CN"/>
        </w:rPr>
      </w:pPr>
      <w:r w:rsidRPr="00EB28B5">
        <w:rPr>
          <w:noProof/>
        </w:rPr>
        <w:t>Table</w:t>
      </w:r>
      <w:r w:rsidR="00921498">
        <w:rPr>
          <w:noProof/>
        </w:rPr>
        <w:t xml:space="preserve"> </w:t>
      </w:r>
      <w:r w:rsidRPr="00EB28B5">
        <w:rPr>
          <w:noProof/>
          <w:lang w:eastAsia="zh-CN"/>
        </w:rPr>
        <w:t>2</w:t>
      </w:r>
    </w:p>
    <w:p w:rsidR="00634706" w:rsidRPr="00EB28B5" w:rsidRDefault="00634706" w:rsidP="00634706">
      <w:pPr>
        <w:pStyle w:val="Tabletitle"/>
        <w:rPr>
          <w:noProof/>
        </w:rPr>
      </w:pPr>
      <w:r w:rsidRPr="00EB28B5">
        <w:rPr>
          <w:noProof/>
        </w:rPr>
        <w:t xml:space="preserve">The current assignment and use ofmaritime identities used for other devices </w:t>
      </w:r>
      <w:r w:rsidRPr="00EB28B5">
        <w:rPr>
          <w:noProof/>
          <w:lang w:eastAsia="zh-CN"/>
        </w:rPr>
        <w:t>o</w:t>
      </w:r>
      <w:r w:rsidRPr="00EB28B5">
        <w:rPr>
          <w:noProof/>
        </w:rPr>
        <w:t>f special purposes</w:t>
      </w:r>
    </w:p>
    <w:tbl>
      <w:tblPr>
        <w:tblW w:w="83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2356"/>
        <w:gridCol w:w="3119"/>
        <w:gridCol w:w="1754"/>
      </w:tblGrid>
      <w:tr w:rsidR="00634706" w:rsidRPr="00EB28B5" w:rsidTr="00C015D4">
        <w:trPr>
          <w:jc w:val="center"/>
        </w:trPr>
        <w:tc>
          <w:tcPr>
            <w:tcW w:w="1101" w:type="dxa"/>
          </w:tcPr>
          <w:p w:rsidR="00634706" w:rsidRPr="00EB28B5" w:rsidRDefault="00634706" w:rsidP="00C015D4">
            <w:pPr>
              <w:pStyle w:val="Tablehead"/>
              <w:rPr>
                <w:noProof/>
              </w:rPr>
            </w:pPr>
            <w:r w:rsidRPr="00EB28B5">
              <w:rPr>
                <w:noProof/>
              </w:rPr>
              <w:t>Prefix</w:t>
            </w:r>
          </w:p>
        </w:tc>
        <w:tc>
          <w:tcPr>
            <w:tcW w:w="2356" w:type="dxa"/>
          </w:tcPr>
          <w:p w:rsidR="00634706" w:rsidRPr="00EB28B5" w:rsidRDefault="00634706" w:rsidP="00C015D4">
            <w:pPr>
              <w:pStyle w:val="Tablehead"/>
              <w:rPr>
                <w:noProof/>
              </w:rPr>
            </w:pPr>
            <w:r w:rsidRPr="00EB28B5">
              <w:rPr>
                <w:noProof/>
              </w:rPr>
              <w:t>Use</w:t>
            </w:r>
            <w:r w:rsidRPr="00EB28B5">
              <w:rPr>
                <w:noProof/>
                <w:lang w:eastAsia="zh-CN"/>
              </w:rPr>
              <w:t>d</w:t>
            </w:r>
            <w:r w:rsidRPr="00EB28B5">
              <w:rPr>
                <w:noProof/>
              </w:rPr>
              <w:t xml:space="preserve"> for</w:t>
            </w:r>
          </w:p>
        </w:tc>
        <w:tc>
          <w:tcPr>
            <w:tcW w:w="3119" w:type="dxa"/>
          </w:tcPr>
          <w:p w:rsidR="00634706" w:rsidRPr="00EB28B5" w:rsidRDefault="00634706" w:rsidP="00C015D4">
            <w:pPr>
              <w:pStyle w:val="Tablehead"/>
              <w:rPr>
                <w:noProof/>
              </w:rPr>
            </w:pPr>
            <w:r w:rsidRPr="00EB28B5">
              <w:rPr>
                <w:noProof/>
              </w:rPr>
              <w:t>Max capability for a single MID</w:t>
            </w:r>
          </w:p>
        </w:tc>
        <w:tc>
          <w:tcPr>
            <w:tcW w:w="1754" w:type="dxa"/>
          </w:tcPr>
          <w:p w:rsidR="00634706" w:rsidRPr="00EB28B5" w:rsidRDefault="00634706" w:rsidP="00C015D4">
            <w:pPr>
              <w:pStyle w:val="Tablehead"/>
              <w:rPr>
                <w:noProof/>
              </w:rPr>
            </w:pPr>
            <w:r w:rsidRPr="00EB28B5">
              <w:rPr>
                <w:noProof/>
              </w:rPr>
              <w:t>Remarks</w:t>
            </w:r>
          </w:p>
        </w:tc>
      </w:tr>
      <w:tr w:rsidR="00634706" w:rsidRPr="00EB28B5" w:rsidTr="00C015D4">
        <w:trPr>
          <w:jc w:val="center"/>
        </w:trPr>
        <w:tc>
          <w:tcPr>
            <w:tcW w:w="1101" w:type="dxa"/>
          </w:tcPr>
          <w:p w:rsidR="00634706" w:rsidRPr="00EB28B5" w:rsidRDefault="00634706" w:rsidP="00C015D4">
            <w:pPr>
              <w:pStyle w:val="Tabletext"/>
              <w:rPr>
                <w:noProof/>
                <w:lang w:eastAsia="zh-CN"/>
              </w:rPr>
            </w:pPr>
            <w:r w:rsidRPr="00EB28B5">
              <w:rPr>
                <w:noProof/>
                <w:lang w:eastAsia="zh-CN"/>
              </w:rPr>
              <w:t>8 MID</w:t>
            </w:r>
          </w:p>
        </w:tc>
        <w:tc>
          <w:tcPr>
            <w:tcW w:w="2356" w:type="dxa"/>
          </w:tcPr>
          <w:p w:rsidR="00634706" w:rsidRPr="00EB28B5" w:rsidRDefault="00634706" w:rsidP="00C015D4">
            <w:pPr>
              <w:pStyle w:val="Tabletext"/>
              <w:rPr>
                <w:noProof/>
                <w:lang w:eastAsia="zh-CN"/>
              </w:rPr>
            </w:pPr>
            <w:r w:rsidRPr="00EB28B5">
              <w:rPr>
                <w:noProof/>
                <w:lang w:eastAsia="zh-CN"/>
              </w:rPr>
              <w:t>VHF handheld DSC</w:t>
            </w:r>
          </w:p>
        </w:tc>
        <w:tc>
          <w:tcPr>
            <w:tcW w:w="3119" w:type="dxa"/>
          </w:tcPr>
          <w:p w:rsidR="00634706" w:rsidRPr="00EB28B5" w:rsidRDefault="00634706" w:rsidP="00C015D4">
            <w:pPr>
              <w:pStyle w:val="Tabletext"/>
              <w:rPr>
                <w:noProof/>
              </w:rPr>
            </w:pPr>
            <w:r w:rsidRPr="00EB28B5">
              <w:rPr>
                <w:noProof/>
              </w:rPr>
              <w:t>100 000</w:t>
            </w:r>
          </w:p>
        </w:tc>
        <w:tc>
          <w:tcPr>
            <w:tcW w:w="1754" w:type="dxa"/>
          </w:tcPr>
          <w:p w:rsidR="00634706" w:rsidRPr="00EB28B5" w:rsidRDefault="00634706" w:rsidP="00C015D4">
            <w:pPr>
              <w:pStyle w:val="Tabletext"/>
              <w:rPr>
                <w:noProof/>
              </w:rPr>
            </w:pPr>
          </w:p>
        </w:tc>
      </w:tr>
      <w:tr w:rsidR="00634706" w:rsidRPr="00EB28B5" w:rsidTr="00C015D4">
        <w:trPr>
          <w:jc w:val="center"/>
        </w:trPr>
        <w:tc>
          <w:tcPr>
            <w:tcW w:w="1101" w:type="dxa"/>
          </w:tcPr>
          <w:p w:rsidR="00634706" w:rsidRPr="00EB28B5" w:rsidRDefault="00634706" w:rsidP="00C015D4">
            <w:pPr>
              <w:pStyle w:val="Tabletext"/>
              <w:rPr>
                <w:noProof/>
                <w:lang w:eastAsia="zh-CN"/>
              </w:rPr>
            </w:pPr>
            <w:r w:rsidRPr="00EB28B5">
              <w:rPr>
                <w:noProof/>
                <w:lang w:eastAsia="zh-CN"/>
              </w:rPr>
              <w:t xml:space="preserve">970 </w:t>
            </w:r>
            <w:r w:rsidRPr="00EB28B5">
              <w:rPr>
                <w:bCs/>
                <w:noProof/>
                <w:lang w:eastAsia="zh-CN"/>
              </w:rPr>
              <w:t>X</w:t>
            </w:r>
            <w:r w:rsidRPr="00EB28B5">
              <w:rPr>
                <w:rFonts w:ascii="Times New Roman Bold" w:hAnsi="Times New Roman Bold"/>
                <w:bCs/>
                <w:noProof/>
                <w:vertAlign w:val="subscript"/>
                <w:lang w:eastAsia="zh-CN"/>
              </w:rPr>
              <w:t>4</w:t>
            </w:r>
            <w:r w:rsidRPr="00EB28B5">
              <w:rPr>
                <w:bCs/>
                <w:noProof/>
                <w:lang w:eastAsia="zh-CN"/>
              </w:rPr>
              <w:t>X</w:t>
            </w:r>
            <w:r w:rsidRPr="00EB28B5">
              <w:rPr>
                <w:rFonts w:ascii="Times New Roman Bold" w:hAnsi="Times New Roman Bold"/>
                <w:bCs/>
                <w:noProof/>
                <w:vertAlign w:val="subscript"/>
                <w:lang w:eastAsia="zh-CN"/>
              </w:rPr>
              <w:t>5</w:t>
            </w:r>
          </w:p>
        </w:tc>
        <w:tc>
          <w:tcPr>
            <w:tcW w:w="2356" w:type="dxa"/>
          </w:tcPr>
          <w:p w:rsidR="00634706" w:rsidRPr="00EB28B5" w:rsidRDefault="00634706" w:rsidP="00C015D4">
            <w:pPr>
              <w:pStyle w:val="Tabletext"/>
              <w:rPr>
                <w:noProof/>
              </w:rPr>
            </w:pPr>
            <w:r w:rsidRPr="00EB28B5">
              <w:rPr>
                <w:noProof/>
              </w:rPr>
              <w:t>AIS-SART</w:t>
            </w:r>
          </w:p>
        </w:tc>
        <w:tc>
          <w:tcPr>
            <w:tcW w:w="3119" w:type="dxa"/>
          </w:tcPr>
          <w:p w:rsidR="00634706" w:rsidRPr="00EB28B5" w:rsidRDefault="00634706" w:rsidP="00C015D4">
            <w:pPr>
              <w:pStyle w:val="Tabletext"/>
              <w:rPr>
                <w:noProof/>
              </w:rPr>
            </w:pPr>
            <w:r w:rsidRPr="00EB28B5">
              <w:rPr>
                <w:noProof/>
              </w:rPr>
              <w:t>10 000</w:t>
            </w:r>
          </w:p>
        </w:tc>
        <w:tc>
          <w:tcPr>
            <w:tcW w:w="1754" w:type="dxa"/>
            <w:vMerge w:val="restart"/>
          </w:tcPr>
          <w:p w:rsidR="00634706" w:rsidRPr="00EB28B5" w:rsidRDefault="00634706" w:rsidP="00C015D4">
            <w:pPr>
              <w:pStyle w:val="Tabletext"/>
              <w:rPr>
                <w:noProof/>
                <w:lang w:eastAsia="zh-CN"/>
              </w:rPr>
            </w:pPr>
            <w:r w:rsidRPr="00EB28B5">
              <w:rPr>
                <w:noProof/>
                <w:lang w:eastAsia="zh-CN"/>
              </w:rPr>
              <w:t xml:space="preserve">Two digits of </w:t>
            </w:r>
            <w:r w:rsidRPr="00EB28B5">
              <w:rPr>
                <w:bCs/>
                <w:noProof/>
              </w:rPr>
              <w:t>X</w:t>
            </w:r>
            <w:r w:rsidRPr="00EB28B5">
              <w:rPr>
                <w:rFonts w:ascii="Times New Roman Bold" w:hAnsi="Times New Roman Bold"/>
                <w:bCs/>
                <w:noProof/>
                <w:vertAlign w:val="subscript"/>
              </w:rPr>
              <w:t>4</w:t>
            </w:r>
            <w:r w:rsidRPr="00EB28B5">
              <w:rPr>
                <w:bCs/>
                <w:noProof/>
              </w:rPr>
              <w:t>X</w:t>
            </w:r>
            <w:r w:rsidRPr="00EB28B5">
              <w:rPr>
                <w:rFonts w:ascii="Times New Roman Bold" w:hAnsi="Times New Roman Bold"/>
                <w:bCs/>
                <w:noProof/>
                <w:vertAlign w:val="subscript"/>
              </w:rPr>
              <w:t>5</w:t>
            </w:r>
            <w:r w:rsidRPr="00EB28B5">
              <w:rPr>
                <w:noProof/>
                <w:lang w:eastAsia="zh-CN"/>
              </w:rPr>
              <w:t>are the manufacturer ID.</w:t>
            </w:r>
          </w:p>
        </w:tc>
      </w:tr>
      <w:tr w:rsidR="00634706" w:rsidRPr="00EB28B5" w:rsidTr="00C015D4">
        <w:trPr>
          <w:jc w:val="center"/>
        </w:trPr>
        <w:tc>
          <w:tcPr>
            <w:tcW w:w="1101" w:type="dxa"/>
          </w:tcPr>
          <w:p w:rsidR="00634706" w:rsidRPr="00EB28B5" w:rsidRDefault="00634706" w:rsidP="00C015D4">
            <w:pPr>
              <w:pStyle w:val="Tabletext"/>
              <w:rPr>
                <w:noProof/>
                <w:lang w:eastAsia="zh-CN"/>
              </w:rPr>
            </w:pPr>
            <w:r w:rsidRPr="00EB28B5">
              <w:rPr>
                <w:noProof/>
                <w:lang w:eastAsia="zh-CN"/>
              </w:rPr>
              <w:t xml:space="preserve">972 </w:t>
            </w:r>
            <w:r w:rsidRPr="00EB28B5">
              <w:rPr>
                <w:bCs/>
                <w:noProof/>
                <w:lang w:eastAsia="zh-CN"/>
              </w:rPr>
              <w:t>X</w:t>
            </w:r>
            <w:r w:rsidRPr="00EB28B5">
              <w:rPr>
                <w:rFonts w:ascii="Times New Roman Bold" w:hAnsi="Times New Roman Bold"/>
                <w:bCs/>
                <w:noProof/>
                <w:vertAlign w:val="subscript"/>
                <w:lang w:eastAsia="zh-CN"/>
              </w:rPr>
              <w:t>4</w:t>
            </w:r>
            <w:r w:rsidRPr="00EB28B5">
              <w:rPr>
                <w:bCs/>
                <w:noProof/>
                <w:lang w:eastAsia="zh-CN"/>
              </w:rPr>
              <w:t>X</w:t>
            </w:r>
            <w:r w:rsidRPr="00EB28B5">
              <w:rPr>
                <w:rFonts w:ascii="Times New Roman Bold" w:hAnsi="Times New Roman Bold"/>
                <w:bCs/>
                <w:noProof/>
                <w:vertAlign w:val="subscript"/>
                <w:lang w:eastAsia="zh-CN"/>
              </w:rPr>
              <w:t>5</w:t>
            </w:r>
          </w:p>
        </w:tc>
        <w:tc>
          <w:tcPr>
            <w:tcW w:w="2356" w:type="dxa"/>
          </w:tcPr>
          <w:p w:rsidR="00634706" w:rsidRPr="00EB28B5" w:rsidRDefault="00634706" w:rsidP="00C015D4">
            <w:pPr>
              <w:pStyle w:val="Tabletext"/>
              <w:rPr>
                <w:noProof/>
                <w:lang w:eastAsia="zh-CN"/>
              </w:rPr>
            </w:pPr>
            <w:r w:rsidRPr="00EB28B5">
              <w:rPr>
                <w:noProof/>
                <w:lang w:eastAsia="zh-CN"/>
              </w:rPr>
              <w:t>MOB</w:t>
            </w:r>
          </w:p>
        </w:tc>
        <w:tc>
          <w:tcPr>
            <w:tcW w:w="3119" w:type="dxa"/>
          </w:tcPr>
          <w:p w:rsidR="00634706" w:rsidRPr="00EB28B5" w:rsidRDefault="00634706" w:rsidP="00C015D4">
            <w:pPr>
              <w:pStyle w:val="Tabletext"/>
              <w:rPr>
                <w:noProof/>
              </w:rPr>
            </w:pPr>
            <w:r w:rsidRPr="00EB28B5">
              <w:rPr>
                <w:noProof/>
              </w:rPr>
              <w:t>10 000</w:t>
            </w:r>
          </w:p>
        </w:tc>
        <w:tc>
          <w:tcPr>
            <w:tcW w:w="1754" w:type="dxa"/>
            <w:vMerge/>
          </w:tcPr>
          <w:p w:rsidR="00634706" w:rsidRPr="00EB28B5" w:rsidRDefault="00634706" w:rsidP="00C015D4">
            <w:pPr>
              <w:pStyle w:val="Tabletext"/>
              <w:rPr>
                <w:noProof/>
              </w:rPr>
            </w:pPr>
          </w:p>
        </w:tc>
      </w:tr>
      <w:tr w:rsidR="00634706" w:rsidRPr="00EB28B5" w:rsidTr="00C015D4">
        <w:trPr>
          <w:jc w:val="center"/>
        </w:trPr>
        <w:tc>
          <w:tcPr>
            <w:tcW w:w="1101" w:type="dxa"/>
          </w:tcPr>
          <w:p w:rsidR="00634706" w:rsidRPr="00EB28B5" w:rsidRDefault="00634706" w:rsidP="00C015D4">
            <w:pPr>
              <w:pStyle w:val="Tabletext"/>
              <w:rPr>
                <w:noProof/>
                <w:lang w:eastAsia="zh-CN"/>
              </w:rPr>
            </w:pPr>
            <w:r w:rsidRPr="00EB28B5">
              <w:rPr>
                <w:noProof/>
                <w:lang w:eastAsia="zh-CN"/>
              </w:rPr>
              <w:t xml:space="preserve">974 </w:t>
            </w:r>
            <w:r w:rsidRPr="00EB28B5">
              <w:rPr>
                <w:bCs/>
                <w:noProof/>
                <w:lang w:eastAsia="zh-CN"/>
              </w:rPr>
              <w:t>X</w:t>
            </w:r>
            <w:r w:rsidRPr="00EB28B5">
              <w:rPr>
                <w:rFonts w:ascii="Times New Roman Bold" w:hAnsi="Times New Roman Bold"/>
                <w:bCs/>
                <w:noProof/>
                <w:vertAlign w:val="subscript"/>
                <w:lang w:eastAsia="zh-CN"/>
              </w:rPr>
              <w:t>4</w:t>
            </w:r>
            <w:r w:rsidRPr="00EB28B5">
              <w:rPr>
                <w:bCs/>
                <w:noProof/>
                <w:lang w:eastAsia="zh-CN"/>
              </w:rPr>
              <w:t>X</w:t>
            </w:r>
            <w:r w:rsidRPr="00EB28B5">
              <w:rPr>
                <w:rFonts w:ascii="Times New Roman Bold" w:hAnsi="Times New Roman Bold"/>
                <w:bCs/>
                <w:noProof/>
                <w:vertAlign w:val="subscript"/>
                <w:lang w:eastAsia="zh-CN"/>
              </w:rPr>
              <w:t>5</w:t>
            </w:r>
          </w:p>
        </w:tc>
        <w:tc>
          <w:tcPr>
            <w:tcW w:w="2356" w:type="dxa"/>
          </w:tcPr>
          <w:p w:rsidR="00634706" w:rsidRPr="00EB28B5" w:rsidRDefault="00634706" w:rsidP="00C015D4">
            <w:pPr>
              <w:pStyle w:val="Tabletext"/>
              <w:rPr>
                <w:noProof/>
              </w:rPr>
            </w:pPr>
            <w:r w:rsidRPr="00EB28B5">
              <w:rPr>
                <w:noProof/>
                <w:szCs w:val="24"/>
              </w:rPr>
              <w:t>EPIRB-AIS</w:t>
            </w:r>
          </w:p>
        </w:tc>
        <w:tc>
          <w:tcPr>
            <w:tcW w:w="3119" w:type="dxa"/>
          </w:tcPr>
          <w:p w:rsidR="00634706" w:rsidRPr="00EB28B5" w:rsidRDefault="00634706" w:rsidP="00C015D4">
            <w:pPr>
              <w:pStyle w:val="Tabletext"/>
              <w:rPr>
                <w:noProof/>
              </w:rPr>
            </w:pPr>
            <w:r w:rsidRPr="00EB28B5">
              <w:rPr>
                <w:noProof/>
              </w:rPr>
              <w:t>1</w:t>
            </w:r>
            <w:r w:rsidRPr="00EB28B5">
              <w:rPr>
                <w:noProof/>
                <w:lang w:eastAsia="zh-CN"/>
              </w:rPr>
              <w:t>0</w:t>
            </w:r>
            <w:r w:rsidRPr="00EB28B5">
              <w:rPr>
                <w:noProof/>
              </w:rPr>
              <w:t> 000</w:t>
            </w:r>
          </w:p>
        </w:tc>
        <w:tc>
          <w:tcPr>
            <w:tcW w:w="1754" w:type="dxa"/>
            <w:vMerge/>
          </w:tcPr>
          <w:p w:rsidR="00634706" w:rsidRPr="00EB28B5" w:rsidRDefault="00634706" w:rsidP="00C015D4">
            <w:pPr>
              <w:pStyle w:val="Tabletext"/>
              <w:rPr>
                <w:noProof/>
              </w:rPr>
            </w:pPr>
          </w:p>
        </w:tc>
      </w:tr>
    </w:tbl>
    <w:p w:rsidR="00634706" w:rsidRPr="00EB28B5" w:rsidRDefault="00634706" w:rsidP="00634706">
      <w:pPr>
        <w:pStyle w:val="Heading2"/>
        <w:rPr>
          <w:noProof/>
        </w:rPr>
      </w:pPr>
      <w:r w:rsidRPr="00EB28B5">
        <w:rPr>
          <w:noProof/>
        </w:rPr>
        <w:t>2.1</w:t>
      </w:r>
      <w:r w:rsidRPr="00EB28B5">
        <w:rPr>
          <w:noProof/>
        </w:rPr>
        <w:tab/>
        <w:t>Purpose of transmitting an identification</w:t>
      </w:r>
    </w:p>
    <w:p w:rsidR="00634706" w:rsidRPr="00EB28B5" w:rsidRDefault="00634706" w:rsidP="00634706">
      <w:pPr>
        <w:rPr>
          <w:noProof/>
        </w:rPr>
      </w:pPr>
      <w:r w:rsidRPr="00EB28B5">
        <w:rPr>
          <w:noProof/>
        </w:rPr>
        <w:t>Numbering supports machine processing of information and association with particular stations and or types of transmitter that fulfil particular roles. The finite number of identities and changes in technology have made it necessary to allow some numbers to be used in several devices [and] to have the same identity. But, unique or non-unique numbers serve different operational needs shown in Table 3 and 4.</w:t>
      </w:r>
    </w:p>
    <w:p w:rsidR="00634706" w:rsidRPr="00EB28B5" w:rsidRDefault="00634706" w:rsidP="00634706">
      <w:pPr>
        <w:pStyle w:val="TableNo"/>
        <w:rPr>
          <w:noProof/>
        </w:rPr>
      </w:pPr>
      <w:r w:rsidRPr="00EB28B5">
        <w:rPr>
          <w:noProof/>
        </w:rPr>
        <w:t>TABLE 3</w:t>
      </w:r>
    </w:p>
    <w:p w:rsidR="00634706" w:rsidRPr="00EB28B5" w:rsidRDefault="00634706" w:rsidP="00634706">
      <w:pPr>
        <w:pStyle w:val="Tabletitle"/>
        <w:rPr>
          <w:noProof/>
        </w:rPr>
      </w:pPr>
      <w:r w:rsidRPr="00EB28B5">
        <w:rPr>
          <w:noProof/>
        </w:rPr>
        <w:t>Current uniquely allocated numbers</w:t>
      </w:r>
    </w:p>
    <w:tbl>
      <w:tblPr>
        <w:tblStyle w:val="TableGrid"/>
        <w:tblW w:w="0" w:type="auto"/>
        <w:jc w:val="center"/>
        <w:tblLook w:val="04A0" w:firstRow="1" w:lastRow="0" w:firstColumn="1" w:lastColumn="0" w:noHBand="0" w:noVBand="1"/>
      </w:tblPr>
      <w:tblGrid>
        <w:gridCol w:w="4508"/>
        <w:gridCol w:w="4508"/>
      </w:tblGrid>
      <w:tr w:rsidR="00634706" w:rsidRPr="00EB28B5" w:rsidTr="00C015D4">
        <w:trPr>
          <w:jc w:val="center"/>
        </w:trPr>
        <w:tc>
          <w:tcPr>
            <w:tcW w:w="4508" w:type="dxa"/>
          </w:tcPr>
          <w:p w:rsidR="00634706" w:rsidRPr="00EB28B5" w:rsidRDefault="00634706" w:rsidP="00C015D4">
            <w:pPr>
              <w:pStyle w:val="Tablehead"/>
              <w:rPr>
                <w:noProof/>
              </w:rPr>
            </w:pPr>
            <w:r w:rsidRPr="00EB28B5">
              <w:rPr>
                <w:noProof/>
              </w:rPr>
              <w:t>Use</w:t>
            </w:r>
          </w:p>
        </w:tc>
        <w:tc>
          <w:tcPr>
            <w:tcW w:w="4508" w:type="dxa"/>
          </w:tcPr>
          <w:p w:rsidR="00634706" w:rsidRPr="00EB28B5" w:rsidRDefault="00634706" w:rsidP="00C015D4">
            <w:pPr>
              <w:pStyle w:val="Tablehead"/>
              <w:rPr>
                <w:noProof/>
              </w:rPr>
            </w:pPr>
            <w:r w:rsidRPr="00EB28B5">
              <w:rPr>
                <w:noProof/>
              </w:rPr>
              <w:t>Reason for unique allocation to station</w:t>
            </w:r>
          </w:p>
        </w:tc>
      </w:tr>
      <w:tr w:rsidR="00634706" w:rsidRPr="00EB28B5" w:rsidTr="00C015D4">
        <w:trPr>
          <w:jc w:val="center"/>
        </w:trPr>
        <w:tc>
          <w:tcPr>
            <w:tcW w:w="4508" w:type="dxa"/>
          </w:tcPr>
          <w:p w:rsidR="00634706" w:rsidRPr="00EB28B5" w:rsidRDefault="00634706" w:rsidP="00C015D4">
            <w:pPr>
              <w:pStyle w:val="Tabletext"/>
              <w:rPr>
                <w:noProof/>
              </w:rPr>
            </w:pPr>
            <w:r w:rsidRPr="00EB28B5">
              <w:rPr>
                <w:noProof/>
              </w:rPr>
              <w:t>DSC</w:t>
            </w:r>
          </w:p>
        </w:tc>
        <w:tc>
          <w:tcPr>
            <w:tcW w:w="4508" w:type="dxa"/>
          </w:tcPr>
          <w:p w:rsidR="00634706" w:rsidRPr="00EB28B5" w:rsidRDefault="00634706" w:rsidP="00C015D4">
            <w:pPr>
              <w:pStyle w:val="Tabletext"/>
              <w:rPr>
                <w:noProof/>
              </w:rPr>
            </w:pPr>
          </w:p>
        </w:tc>
      </w:tr>
      <w:tr w:rsidR="00634706" w:rsidRPr="00EB28B5" w:rsidTr="00C015D4">
        <w:trPr>
          <w:jc w:val="center"/>
        </w:trPr>
        <w:tc>
          <w:tcPr>
            <w:tcW w:w="4508" w:type="dxa"/>
          </w:tcPr>
          <w:p w:rsidR="00634706" w:rsidRPr="00EB28B5" w:rsidRDefault="00634706" w:rsidP="00C015D4">
            <w:pPr>
              <w:pStyle w:val="Tabletext"/>
              <w:rPr>
                <w:noProof/>
              </w:rPr>
            </w:pPr>
            <w:r w:rsidRPr="00EB28B5">
              <w:rPr>
                <w:noProof/>
              </w:rPr>
              <w:t>Establishing communications with a particular station through DSC or recognised GMDSS satellite service.</w:t>
            </w:r>
          </w:p>
        </w:tc>
        <w:tc>
          <w:tcPr>
            <w:tcW w:w="4508" w:type="dxa"/>
          </w:tcPr>
          <w:p w:rsidR="00634706" w:rsidRPr="00EB28B5" w:rsidRDefault="00634706" w:rsidP="00C015D4">
            <w:pPr>
              <w:pStyle w:val="Tabletext"/>
              <w:rPr>
                <w:noProof/>
              </w:rPr>
            </w:pPr>
            <w:r w:rsidRPr="00EB28B5">
              <w:rPr>
                <w:noProof/>
              </w:rPr>
              <w:t>Essential given the global coverage</w:t>
            </w:r>
          </w:p>
        </w:tc>
      </w:tr>
      <w:tr w:rsidR="00634706" w:rsidRPr="00EB28B5" w:rsidTr="00C015D4">
        <w:trPr>
          <w:jc w:val="center"/>
        </w:trPr>
        <w:tc>
          <w:tcPr>
            <w:tcW w:w="4508" w:type="dxa"/>
          </w:tcPr>
          <w:p w:rsidR="00634706" w:rsidRPr="00EB28B5" w:rsidRDefault="00634706" w:rsidP="00C015D4">
            <w:pPr>
              <w:pStyle w:val="Tabletext"/>
              <w:rPr>
                <w:noProof/>
              </w:rPr>
            </w:pPr>
            <w:r w:rsidRPr="00EB28B5">
              <w:rPr>
                <w:noProof/>
              </w:rPr>
              <w:t>SAR services use the information in the MARS database when dealing with distress alerts from vessel stations and from portable VHF radiotelephones.</w:t>
            </w:r>
          </w:p>
        </w:tc>
        <w:tc>
          <w:tcPr>
            <w:tcW w:w="4508" w:type="dxa"/>
          </w:tcPr>
          <w:p w:rsidR="00634706" w:rsidRPr="00EB28B5" w:rsidRDefault="00634706" w:rsidP="00C015D4">
            <w:pPr>
              <w:pStyle w:val="Tabletext"/>
              <w:rPr>
                <w:noProof/>
              </w:rPr>
            </w:pPr>
            <w:r w:rsidRPr="00EB28B5">
              <w:rPr>
                <w:noProof/>
              </w:rPr>
              <w:t>Essential for operation of the MARS database</w:t>
            </w:r>
          </w:p>
        </w:tc>
      </w:tr>
      <w:tr w:rsidR="00634706" w:rsidRPr="00EB28B5" w:rsidTr="00C015D4">
        <w:trPr>
          <w:jc w:val="center"/>
        </w:trPr>
        <w:tc>
          <w:tcPr>
            <w:tcW w:w="4508" w:type="dxa"/>
          </w:tcPr>
          <w:p w:rsidR="00634706" w:rsidRPr="00EB28B5" w:rsidRDefault="00634706" w:rsidP="00C015D4">
            <w:pPr>
              <w:pStyle w:val="Tabletext"/>
              <w:rPr>
                <w:noProof/>
              </w:rPr>
            </w:pPr>
            <w:r w:rsidRPr="00EB28B5">
              <w:rPr>
                <w:noProof/>
              </w:rPr>
              <w:t>Enforcement action against misuse of distress alerts.</w:t>
            </w:r>
          </w:p>
        </w:tc>
        <w:tc>
          <w:tcPr>
            <w:tcW w:w="4508" w:type="dxa"/>
          </w:tcPr>
          <w:p w:rsidR="00634706" w:rsidRPr="00EB28B5" w:rsidRDefault="00634706" w:rsidP="00C015D4">
            <w:pPr>
              <w:pStyle w:val="Tabletext"/>
              <w:rPr>
                <w:noProof/>
              </w:rPr>
            </w:pPr>
            <w:r w:rsidRPr="00EB28B5">
              <w:rPr>
                <w:noProof/>
              </w:rPr>
              <w:t>Distress alert indicates imminent danger to life and in need of assistance. There is an international obligation (SOLAS) to respond and may involve risk to others</w:t>
            </w:r>
          </w:p>
        </w:tc>
      </w:tr>
      <w:tr w:rsidR="00634706" w:rsidRPr="00EB28B5" w:rsidTr="00C015D4">
        <w:trPr>
          <w:jc w:val="center"/>
        </w:trPr>
        <w:tc>
          <w:tcPr>
            <w:tcW w:w="4508" w:type="dxa"/>
          </w:tcPr>
          <w:p w:rsidR="00634706" w:rsidRPr="00EB28B5" w:rsidRDefault="00634706" w:rsidP="00C015D4">
            <w:pPr>
              <w:pStyle w:val="Tabletext"/>
              <w:rPr>
                <w:noProof/>
              </w:rPr>
            </w:pPr>
            <w:r w:rsidRPr="00EB28B5">
              <w:rPr>
                <w:noProof/>
              </w:rPr>
              <w:t>Acknowledgement of distress alerts</w:t>
            </w:r>
          </w:p>
        </w:tc>
        <w:tc>
          <w:tcPr>
            <w:tcW w:w="4508" w:type="dxa"/>
          </w:tcPr>
          <w:p w:rsidR="00634706" w:rsidRPr="00EB28B5" w:rsidRDefault="00634706" w:rsidP="00C015D4">
            <w:pPr>
              <w:pStyle w:val="Tabletext"/>
              <w:rPr>
                <w:noProof/>
              </w:rPr>
            </w:pPr>
            <w:r w:rsidRPr="00EB28B5">
              <w:rPr>
                <w:noProof/>
              </w:rPr>
              <w:t>A station that acknowledges a DSC distress alert indicates responsibility, a non-unique number in the global system could create unintended consequences and risk.</w:t>
            </w:r>
          </w:p>
        </w:tc>
      </w:tr>
      <w:tr w:rsidR="00634706" w:rsidRPr="00EB28B5" w:rsidTr="00C015D4">
        <w:trPr>
          <w:jc w:val="center"/>
        </w:trPr>
        <w:tc>
          <w:tcPr>
            <w:tcW w:w="4508" w:type="dxa"/>
          </w:tcPr>
          <w:p w:rsidR="00634706" w:rsidRPr="00EB28B5" w:rsidRDefault="00634706" w:rsidP="00C015D4">
            <w:pPr>
              <w:pStyle w:val="Tabletext"/>
              <w:rPr>
                <w:noProof/>
              </w:rPr>
            </w:pPr>
            <w:r w:rsidRPr="00EB28B5">
              <w:rPr>
                <w:noProof/>
              </w:rPr>
              <w:t>AIS</w:t>
            </w:r>
          </w:p>
        </w:tc>
        <w:tc>
          <w:tcPr>
            <w:tcW w:w="4508" w:type="dxa"/>
          </w:tcPr>
          <w:p w:rsidR="00634706" w:rsidRPr="00EB28B5" w:rsidRDefault="00634706" w:rsidP="00C015D4">
            <w:pPr>
              <w:pStyle w:val="Tabletext"/>
              <w:rPr>
                <w:noProof/>
              </w:rPr>
            </w:pPr>
          </w:p>
        </w:tc>
      </w:tr>
      <w:tr w:rsidR="00634706" w:rsidRPr="00EB28B5" w:rsidTr="00C015D4">
        <w:trPr>
          <w:jc w:val="center"/>
        </w:trPr>
        <w:tc>
          <w:tcPr>
            <w:tcW w:w="4508" w:type="dxa"/>
          </w:tcPr>
          <w:p w:rsidR="00634706" w:rsidRPr="00EB28B5" w:rsidRDefault="00634706" w:rsidP="00C015D4">
            <w:pPr>
              <w:pStyle w:val="Tabletext"/>
              <w:rPr>
                <w:noProof/>
              </w:rPr>
            </w:pPr>
            <w:r w:rsidRPr="00EB28B5">
              <w:rPr>
                <w:noProof/>
              </w:rPr>
              <w:t>Automatic reporting of position of vessels and hazards (AtoN) which supports decision making for safety of navigation.</w:t>
            </w:r>
          </w:p>
        </w:tc>
        <w:tc>
          <w:tcPr>
            <w:tcW w:w="4508" w:type="dxa"/>
          </w:tcPr>
          <w:p w:rsidR="00634706" w:rsidRPr="00EB28B5" w:rsidRDefault="00634706" w:rsidP="00C015D4">
            <w:pPr>
              <w:pStyle w:val="Tabletext"/>
              <w:rPr>
                <w:noProof/>
              </w:rPr>
            </w:pPr>
            <w:r w:rsidRPr="00EB28B5">
              <w:rPr>
                <w:noProof/>
              </w:rPr>
              <w:t>Allows simple machine processing for presentation to navigator and use in automatic estimation of closest point of approach and time of closest point of approach and for vessel traffic monitoring.</w:t>
            </w:r>
          </w:p>
          <w:p w:rsidR="00634706" w:rsidRPr="00EB28B5" w:rsidRDefault="00634706" w:rsidP="00C015D4">
            <w:pPr>
              <w:pStyle w:val="Tabletext"/>
              <w:rPr>
                <w:noProof/>
              </w:rPr>
            </w:pPr>
            <w:r w:rsidRPr="00EB28B5">
              <w:rPr>
                <w:noProof/>
              </w:rPr>
              <w:t>Permits simple AIS and radar target association.</w:t>
            </w:r>
          </w:p>
          <w:p w:rsidR="00634706" w:rsidRPr="00EB28B5" w:rsidRDefault="00634706" w:rsidP="00C015D4">
            <w:pPr>
              <w:pStyle w:val="Tabletext"/>
              <w:rPr>
                <w:noProof/>
              </w:rPr>
            </w:pPr>
            <w:r w:rsidRPr="00EB28B5">
              <w:rPr>
                <w:noProof/>
              </w:rPr>
              <w:t>Permanent AtoNs are permanently marked on navigational charts.</w:t>
            </w:r>
          </w:p>
        </w:tc>
      </w:tr>
      <w:tr w:rsidR="00634706" w:rsidRPr="00EB28B5" w:rsidTr="00C015D4">
        <w:trPr>
          <w:jc w:val="center"/>
        </w:trPr>
        <w:tc>
          <w:tcPr>
            <w:tcW w:w="4508" w:type="dxa"/>
          </w:tcPr>
          <w:p w:rsidR="00634706" w:rsidRPr="00EB28B5" w:rsidRDefault="00634706" w:rsidP="00C015D4">
            <w:pPr>
              <w:pStyle w:val="Tabletext"/>
              <w:rPr>
                <w:noProof/>
              </w:rPr>
            </w:pPr>
            <w:r w:rsidRPr="00EB28B5">
              <w:rPr>
                <w:noProof/>
              </w:rPr>
              <w:t>Situational awareness of aircraft and vessels deployment during SAR activities</w:t>
            </w:r>
          </w:p>
        </w:tc>
        <w:tc>
          <w:tcPr>
            <w:tcW w:w="4508" w:type="dxa"/>
          </w:tcPr>
          <w:p w:rsidR="00634706" w:rsidRPr="00EB28B5" w:rsidRDefault="00634706" w:rsidP="00C015D4">
            <w:pPr>
              <w:pStyle w:val="Tabletext"/>
              <w:rPr>
                <w:noProof/>
              </w:rPr>
            </w:pPr>
            <w:r w:rsidRPr="00EB28B5">
              <w:rPr>
                <w:noProof/>
              </w:rPr>
              <w:t>Simplifies identification and efficient management of assets for SAR tasking and communications</w:t>
            </w:r>
          </w:p>
        </w:tc>
      </w:tr>
      <w:tr w:rsidR="00634706" w:rsidRPr="00EB28B5" w:rsidTr="00C015D4">
        <w:trPr>
          <w:jc w:val="center"/>
        </w:trPr>
        <w:tc>
          <w:tcPr>
            <w:tcW w:w="4508" w:type="dxa"/>
          </w:tcPr>
          <w:p w:rsidR="00634706" w:rsidRPr="00EB28B5" w:rsidRDefault="00634706" w:rsidP="00C015D4">
            <w:pPr>
              <w:pStyle w:val="Tabletext"/>
              <w:rPr>
                <w:noProof/>
              </w:rPr>
            </w:pPr>
            <w:r w:rsidRPr="00EB28B5">
              <w:rPr>
                <w:noProof/>
              </w:rPr>
              <w:t>Monitoring of vessels for security purposes</w:t>
            </w:r>
          </w:p>
        </w:tc>
        <w:tc>
          <w:tcPr>
            <w:tcW w:w="4508" w:type="dxa"/>
          </w:tcPr>
          <w:p w:rsidR="00634706" w:rsidRPr="00EB28B5" w:rsidRDefault="00634706" w:rsidP="00C015D4">
            <w:pPr>
              <w:pStyle w:val="Tabletext"/>
              <w:rPr>
                <w:noProof/>
              </w:rPr>
            </w:pPr>
            <w:r w:rsidRPr="00EB28B5">
              <w:rPr>
                <w:noProof/>
              </w:rPr>
              <w:t>Essential for analysis</w:t>
            </w:r>
          </w:p>
        </w:tc>
      </w:tr>
      <w:tr w:rsidR="00634706" w:rsidRPr="00EB28B5" w:rsidTr="00C015D4">
        <w:trPr>
          <w:jc w:val="center"/>
        </w:trPr>
        <w:tc>
          <w:tcPr>
            <w:tcW w:w="4508" w:type="dxa"/>
          </w:tcPr>
          <w:p w:rsidR="00634706" w:rsidRPr="00EB28B5" w:rsidRDefault="00634706" w:rsidP="00C015D4">
            <w:pPr>
              <w:pStyle w:val="Tabletext"/>
              <w:rPr>
                <w:noProof/>
              </w:rPr>
            </w:pPr>
            <w:r w:rsidRPr="00EB28B5">
              <w:rPr>
                <w:noProof/>
              </w:rPr>
              <w:t>Investigation of maritime incidents</w:t>
            </w:r>
          </w:p>
        </w:tc>
        <w:tc>
          <w:tcPr>
            <w:tcW w:w="4508" w:type="dxa"/>
          </w:tcPr>
          <w:p w:rsidR="00634706" w:rsidRPr="00EB28B5" w:rsidRDefault="00634706" w:rsidP="00C015D4">
            <w:pPr>
              <w:pStyle w:val="Tabletext"/>
              <w:rPr>
                <w:noProof/>
              </w:rPr>
            </w:pPr>
            <w:r w:rsidRPr="00EB28B5">
              <w:rPr>
                <w:noProof/>
              </w:rPr>
              <w:t>Uniquely identifies vessels involved and in the area.</w:t>
            </w:r>
          </w:p>
        </w:tc>
      </w:tr>
      <w:tr w:rsidR="00634706" w:rsidRPr="00EB28B5" w:rsidTr="00C015D4">
        <w:trPr>
          <w:jc w:val="center"/>
        </w:trPr>
        <w:tc>
          <w:tcPr>
            <w:tcW w:w="4508" w:type="dxa"/>
          </w:tcPr>
          <w:p w:rsidR="00634706" w:rsidRPr="00EB28B5" w:rsidRDefault="00634706" w:rsidP="00C015D4">
            <w:pPr>
              <w:pStyle w:val="Tabletext"/>
              <w:rPr>
                <w:noProof/>
              </w:rPr>
            </w:pPr>
            <w:r w:rsidRPr="00EB28B5">
              <w:rPr>
                <w:noProof/>
              </w:rPr>
              <w:t>Action against misuse</w:t>
            </w:r>
          </w:p>
        </w:tc>
        <w:tc>
          <w:tcPr>
            <w:tcW w:w="4508" w:type="dxa"/>
          </w:tcPr>
          <w:p w:rsidR="00634706" w:rsidRPr="00EB28B5" w:rsidRDefault="00634706" w:rsidP="00C015D4">
            <w:pPr>
              <w:pStyle w:val="Tabletext"/>
              <w:rPr>
                <w:noProof/>
              </w:rPr>
            </w:pPr>
            <w:r w:rsidRPr="00EB28B5">
              <w:rPr>
                <w:noProof/>
              </w:rPr>
              <w:t>Action against misuse is very much simpler when a station can be uniquely identified.</w:t>
            </w:r>
          </w:p>
        </w:tc>
      </w:tr>
    </w:tbl>
    <w:p w:rsidR="00634706" w:rsidRPr="00EB28B5" w:rsidRDefault="00634706" w:rsidP="00634706">
      <w:pPr>
        <w:pStyle w:val="TableNo"/>
        <w:rPr>
          <w:noProof/>
        </w:rPr>
      </w:pPr>
      <w:r w:rsidRPr="00EB28B5">
        <w:rPr>
          <w:noProof/>
        </w:rPr>
        <w:t>TABLE 4</w:t>
      </w:r>
    </w:p>
    <w:p w:rsidR="00634706" w:rsidRPr="00EB28B5" w:rsidRDefault="00634706" w:rsidP="00634706">
      <w:pPr>
        <w:pStyle w:val="Tabletitle"/>
        <w:rPr>
          <w:noProof/>
        </w:rPr>
      </w:pPr>
      <w:r w:rsidRPr="00EB28B5">
        <w:rPr>
          <w:noProof/>
        </w:rPr>
        <w:t>Non-unique numbers – in general, these do not represent hazards to a vessel</w:t>
      </w:r>
    </w:p>
    <w:tbl>
      <w:tblPr>
        <w:tblStyle w:val="TableGrid"/>
        <w:tblW w:w="0" w:type="auto"/>
        <w:jc w:val="center"/>
        <w:tblLook w:val="04A0" w:firstRow="1" w:lastRow="0" w:firstColumn="1" w:lastColumn="0" w:noHBand="0" w:noVBand="1"/>
      </w:tblPr>
      <w:tblGrid>
        <w:gridCol w:w="4508"/>
        <w:gridCol w:w="4508"/>
      </w:tblGrid>
      <w:tr w:rsidR="00634706" w:rsidRPr="00EB28B5" w:rsidTr="00C015D4">
        <w:trPr>
          <w:jc w:val="center"/>
        </w:trPr>
        <w:tc>
          <w:tcPr>
            <w:tcW w:w="4508" w:type="dxa"/>
          </w:tcPr>
          <w:p w:rsidR="00634706" w:rsidRPr="00EB28B5" w:rsidRDefault="00634706" w:rsidP="00C015D4">
            <w:pPr>
              <w:pStyle w:val="Tablehead"/>
              <w:rPr>
                <w:noProof/>
              </w:rPr>
            </w:pPr>
            <w:r w:rsidRPr="00EB28B5">
              <w:rPr>
                <w:noProof/>
              </w:rPr>
              <w:t>Use</w:t>
            </w:r>
          </w:p>
        </w:tc>
        <w:tc>
          <w:tcPr>
            <w:tcW w:w="4508" w:type="dxa"/>
          </w:tcPr>
          <w:p w:rsidR="00634706" w:rsidRPr="00EB28B5" w:rsidRDefault="00634706" w:rsidP="00C015D4">
            <w:pPr>
              <w:pStyle w:val="Tablehead"/>
              <w:rPr>
                <w:noProof/>
              </w:rPr>
            </w:pPr>
            <w:r w:rsidRPr="00EB28B5">
              <w:rPr>
                <w:noProof/>
              </w:rPr>
              <w:t>Reason for non-unique allocation to station</w:t>
            </w:r>
          </w:p>
        </w:tc>
      </w:tr>
      <w:tr w:rsidR="00634706" w:rsidRPr="00EB28B5" w:rsidTr="00C015D4">
        <w:trPr>
          <w:jc w:val="center"/>
        </w:trPr>
        <w:tc>
          <w:tcPr>
            <w:tcW w:w="4508" w:type="dxa"/>
          </w:tcPr>
          <w:p w:rsidR="00634706" w:rsidRPr="00EB28B5" w:rsidRDefault="00634706" w:rsidP="00C015D4">
            <w:pPr>
              <w:pStyle w:val="Tabletext"/>
              <w:rPr>
                <w:noProof/>
              </w:rPr>
            </w:pPr>
            <w:r w:rsidRPr="00EB28B5">
              <w:rPr>
                <w:noProof/>
              </w:rPr>
              <w:t>DSC Communications</w:t>
            </w:r>
          </w:p>
        </w:tc>
        <w:tc>
          <w:tcPr>
            <w:tcW w:w="4508" w:type="dxa"/>
          </w:tcPr>
          <w:p w:rsidR="00634706" w:rsidRPr="00EB28B5" w:rsidRDefault="00634706" w:rsidP="00C015D4">
            <w:pPr>
              <w:pStyle w:val="Tabletext"/>
              <w:rPr>
                <w:noProof/>
              </w:rPr>
            </w:pPr>
          </w:p>
        </w:tc>
      </w:tr>
      <w:tr w:rsidR="00634706" w:rsidRPr="00EB28B5" w:rsidTr="00C015D4">
        <w:trPr>
          <w:jc w:val="center"/>
        </w:trPr>
        <w:tc>
          <w:tcPr>
            <w:tcW w:w="4508" w:type="dxa"/>
          </w:tcPr>
          <w:p w:rsidR="00634706" w:rsidRPr="00EB28B5" w:rsidRDefault="00634706" w:rsidP="00C015D4">
            <w:pPr>
              <w:pStyle w:val="Tabletext"/>
              <w:rPr>
                <w:noProof/>
              </w:rPr>
            </w:pPr>
            <w:r w:rsidRPr="00EB28B5">
              <w:rPr>
                <w:noProof/>
              </w:rPr>
              <w:t>Distress alerts for MOB events without radiotelephony</w:t>
            </w:r>
          </w:p>
        </w:tc>
        <w:tc>
          <w:tcPr>
            <w:tcW w:w="4508" w:type="dxa"/>
          </w:tcPr>
          <w:p w:rsidR="00634706" w:rsidRPr="00EB28B5" w:rsidRDefault="00634706" w:rsidP="00C015D4">
            <w:pPr>
              <w:pStyle w:val="Tabletext"/>
              <w:rPr>
                <w:noProof/>
              </w:rPr>
            </w:pPr>
            <w:r w:rsidRPr="00EB28B5">
              <w:rPr>
                <w:noProof/>
              </w:rPr>
              <w:t>The devices have local effect due to antenna height (a few nautical miles).</w:t>
            </w:r>
          </w:p>
          <w:p w:rsidR="00634706" w:rsidRPr="00EB28B5" w:rsidRDefault="00634706" w:rsidP="00C015D4">
            <w:pPr>
              <w:pStyle w:val="Tabletext"/>
              <w:rPr>
                <w:noProof/>
              </w:rPr>
            </w:pPr>
            <w:r w:rsidRPr="00EB28B5">
              <w:rPr>
                <w:noProof/>
              </w:rPr>
              <w:t>They are a distress alert for a single type of event.</w:t>
            </w:r>
          </w:p>
          <w:p w:rsidR="00634706" w:rsidRPr="00EB28B5" w:rsidRDefault="00634706" w:rsidP="00C015D4">
            <w:pPr>
              <w:pStyle w:val="Tabletext"/>
              <w:rPr>
                <w:noProof/>
              </w:rPr>
            </w:pPr>
            <w:r w:rsidRPr="00EB28B5">
              <w:rPr>
                <w:noProof/>
              </w:rPr>
              <w:t>They are always associated with MOB-AIS beacons for locations, the risk associated with of multiple devices with same number is considered minimal.</w:t>
            </w:r>
          </w:p>
        </w:tc>
      </w:tr>
      <w:tr w:rsidR="00634706" w:rsidRPr="00EB28B5" w:rsidTr="00C015D4">
        <w:trPr>
          <w:jc w:val="center"/>
        </w:trPr>
        <w:tc>
          <w:tcPr>
            <w:tcW w:w="4508" w:type="dxa"/>
          </w:tcPr>
          <w:p w:rsidR="00634706" w:rsidRPr="00EB28B5" w:rsidRDefault="00634706" w:rsidP="00C015D4">
            <w:pPr>
              <w:pStyle w:val="Tabletext"/>
              <w:rPr>
                <w:noProof/>
              </w:rPr>
            </w:pPr>
            <w:r w:rsidRPr="00EB28B5">
              <w:rPr>
                <w:noProof/>
              </w:rPr>
              <w:t>AIS</w:t>
            </w:r>
          </w:p>
        </w:tc>
        <w:tc>
          <w:tcPr>
            <w:tcW w:w="4508" w:type="dxa"/>
          </w:tcPr>
          <w:p w:rsidR="00634706" w:rsidRPr="00EB28B5" w:rsidRDefault="00634706" w:rsidP="00C015D4">
            <w:pPr>
              <w:pStyle w:val="Tabletext"/>
              <w:rPr>
                <w:noProof/>
              </w:rPr>
            </w:pPr>
          </w:p>
        </w:tc>
      </w:tr>
      <w:tr w:rsidR="00634706" w:rsidRPr="00EB28B5" w:rsidTr="00C015D4">
        <w:trPr>
          <w:jc w:val="center"/>
        </w:trPr>
        <w:tc>
          <w:tcPr>
            <w:tcW w:w="4508" w:type="dxa"/>
          </w:tcPr>
          <w:p w:rsidR="00634706" w:rsidRPr="00EB28B5" w:rsidRDefault="00634706" w:rsidP="00C015D4">
            <w:pPr>
              <w:pStyle w:val="Tabletext"/>
              <w:rPr>
                <w:noProof/>
              </w:rPr>
            </w:pPr>
            <w:r w:rsidRPr="00EB28B5">
              <w:rPr>
                <w:noProof/>
              </w:rPr>
              <w:t xml:space="preserve">Devices to assist location of an emergency in the last few nautical miles. </w:t>
            </w:r>
          </w:p>
        </w:tc>
        <w:tc>
          <w:tcPr>
            <w:tcW w:w="4508" w:type="dxa"/>
          </w:tcPr>
          <w:p w:rsidR="00634706" w:rsidRPr="00EB28B5" w:rsidRDefault="00634706" w:rsidP="00C015D4">
            <w:pPr>
              <w:pStyle w:val="Tabletext"/>
              <w:rPr>
                <w:noProof/>
              </w:rPr>
            </w:pPr>
            <w:r w:rsidRPr="00EB28B5">
              <w:rPr>
                <w:noProof/>
              </w:rPr>
              <w:t>AIS does not have an internationally acknowledged distress alerting function: It is for locating only in the GMDSS.</w:t>
            </w:r>
          </w:p>
          <w:p w:rsidR="00634706" w:rsidRPr="00EB28B5" w:rsidRDefault="00634706" w:rsidP="00C015D4">
            <w:pPr>
              <w:pStyle w:val="Tabletext"/>
              <w:rPr>
                <w:noProof/>
              </w:rPr>
            </w:pPr>
            <w:r w:rsidRPr="00EB28B5">
              <w:rPr>
                <w:noProof/>
              </w:rPr>
              <w:t>The numerical prefix identifies the type of target.</w:t>
            </w:r>
          </w:p>
          <w:p w:rsidR="00634706" w:rsidRPr="00EB28B5" w:rsidRDefault="00634706" w:rsidP="00C015D4">
            <w:pPr>
              <w:pStyle w:val="Tabletext"/>
              <w:rPr>
                <w:noProof/>
              </w:rPr>
            </w:pPr>
            <w:r w:rsidRPr="00EB28B5">
              <w:rPr>
                <w:noProof/>
              </w:rPr>
              <w:t xml:space="preserve">The risk associated with multiple devices with same number is considered minimal. Any asset tasked with SAR will </w:t>
            </w:r>
          </w:p>
        </w:tc>
      </w:tr>
    </w:tbl>
    <w:p w:rsidR="00634706" w:rsidRPr="00EB28B5" w:rsidRDefault="00634706" w:rsidP="00634706">
      <w:pPr>
        <w:pStyle w:val="Heading2"/>
        <w:rPr>
          <w:noProof/>
        </w:rPr>
      </w:pPr>
      <w:r w:rsidRPr="00EB28B5">
        <w:rPr>
          <w:noProof/>
        </w:rPr>
        <w:t>2.2</w:t>
      </w:r>
      <w:r w:rsidRPr="00EB28B5">
        <w:rPr>
          <w:noProof/>
        </w:rPr>
        <w:tab/>
        <w:t>Relationship of bridge navigational equipment to the present numbering scheme</w:t>
      </w:r>
    </w:p>
    <w:p w:rsidR="00634706" w:rsidRPr="00EB28B5" w:rsidRDefault="00634706" w:rsidP="00634706">
      <w:pPr>
        <w:rPr>
          <w:noProof/>
        </w:rPr>
      </w:pPr>
      <w:r w:rsidRPr="00EB28B5">
        <w:rPr>
          <w:noProof/>
        </w:rPr>
        <w:t>The International Maritime Organization (IMO) performance standards and International Electrotechnical Commission test standards for bridge equipment assume that a particular number is associated with only a single source and the persistence of targets is not fully defined for graphical displays.</w:t>
      </w:r>
    </w:p>
    <w:p w:rsidR="00634706" w:rsidRPr="00EB28B5" w:rsidRDefault="00634706" w:rsidP="00634706">
      <w:pPr>
        <w:rPr>
          <w:noProof/>
        </w:rPr>
      </w:pPr>
      <w:r w:rsidRPr="00EB28B5">
        <w:rPr>
          <w:noProof/>
        </w:rPr>
        <w:t>Where different devices provide a position report and use the same identity the way information is displayed to the user will be uncertain. Some navigation equipment supports decision making by associating radar and AIS targets; this function may be disturbed.</w:t>
      </w:r>
    </w:p>
    <w:p w:rsidR="00634706" w:rsidRPr="00EB28B5" w:rsidRDefault="00634706" w:rsidP="00634706">
      <w:pPr>
        <w:rPr>
          <w:noProof/>
        </w:rPr>
      </w:pPr>
      <w:r w:rsidRPr="00EB28B5">
        <w:rPr>
          <w:noProof/>
        </w:rPr>
        <w:t>For AIS, it is important that anything a vessel may regard as a hazard or supports navigational safety is uniquely identified.</w:t>
      </w:r>
    </w:p>
    <w:p w:rsidR="00634706" w:rsidRPr="00EB28B5" w:rsidRDefault="00634706" w:rsidP="00634706">
      <w:pPr>
        <w:rPr>
          <w:noProof/>
          <w:szCs w:val="24"/>
        </w:rPr>
      </w:pPr>
      <w:r w:rsidRPr="00EB28B5">
        <w:rPr>
          <w:noProof/>
        </w:rPr>
        <w:t>Graphical displays rely upon the leading digit(s) of the AIS identity to determine the displayed symbol as described in IMO Circular SN/Circ.243 Rev.1</w:t>
      </w:r>
      <w:r w:rsidRPr="00EB28B5">
        <w:rPr>
          <w:rFonts w:cs="Arial"/>
          <w:bCs/>
          <w:noProof/>
          <w:szCs w:val="24"/>
        </w:rPr>
        <w:t>Amended Guidelines for the Presentation of Navigational-Related Symbols, Terms and Abbreviations</w:t>
      </w:r>
      <w:r w:rsidRPr="00EB28B5">
        <w:rPr>
          <w:noProof/>
          <w:szCs w:val="24"/>
        </w:rPr>
        <w:t>:</w:t>
      </w:r>
    </w:p>
    <w:p w:rsidR="00634706" w:rsidRPr="00EB28B5" w:rsidRDefault="00634706" w:rsidP="00634706">
      <w:pPr>
        <w:pStyle w:val="enumlev1"/>
        <w:rPr>
          <w:noProof/>
        </w:rPr>
      </w:pPr>
      <w:r w:rsidRPr="00EB28B5">
        <w:rPr>
          <w:noProof/>
        </w:rPr>
        <w:t>•</w:t>
      </w:r>
      <w:r w:rsidRPr="00EB28B5">
        <w:rPr>
          <w:noProof/>
        </w:rPr>
        <w:tab/>
        <w:t>0 are coast stations, it is likely that these appear as Aids to Navigation.</w:t>
      </w:r>
    </w:p>
    <w:p w:rsidR="00634706" w:rsidRPr="00EB28B5" w:rsidRDefault="00634706" w:rsidP="00634706">
      <w:pPr>
        <w:pStyle w:val="enumlev1"/>
        <w:rPr>
          <w:noProof/>
        </w:rPr>
      </w:pPr>
      <w:r w:rsidRPr="00EB28B5">
        <w:rPr>
          <w:noProof/>
        </w:rPr>
        <w:t>•</w:t>
      </w:r>
      <w:r w:rsidRPr="00EB28B5">
        <w:rPr>
          <w:noProof/>
        </w:rPr>
        <w:tab/>
        <w:t>1-7 are assumed to be vessel targets although only 270 numbers from 100-799 are defined.</w:t>
      </w:r>
    </w:p>
    <w:p w:rsidR="00634706" w:rsidRPr="00EB28B5" w:rsidRDefault="00634706" w:rsidP="00634706">
      <w:pPr>
        <w:pStyle w:val="enumlev1"/>
        <w:rPr>
          <w:noProof/>
        </w:rPr>
      </w:pPr>
      <w:r w:rsidRPr="00EB28B5">
        <w:rPr>
          <w:noProof/>
        </w:rPr>
        <w:t>•</w:t>
      </w:r>
      <w:r w:rsidRPr="00EB28B5">
        <w:rPr>
          <w:noProof/>
        </w:rPr>
        <w:tab/>
        <w:t>970, 972 and 974 indicates an Emergency Locator beacon.</w:t>
      </w:r>
    </w:p>
    <w:p w:rsidR="00634706" w:rsidRPr="00EB28B5" w:rsidRDefault="00634706" w:rsidP="00634706">
      <w:pPr>
        <w:pStyle w:val="enumlev1"/>
        <w:rPr>
          <w:noProof/>
        </w:rPr>
      </w:pPr>
      <w:r w:rsidRPr="00EB28B5">
        <w:rPr>
          <w:noProof/>
        </w:rPr>
        <w:t>•</w:t>
      </w:r>
      <w:r w:rsidRPr="00EB28B5">
        <w:rPr>
          <w:noProof/>
        </w:rPr>
        <w:tab/>
        <w:t>99 indicates an Aid to Navigation.</w:t>
      </w:r>
    </w:p>
    <w:p w:rsidR="00634706" w:rsidRPr="00EB28B5" w:rsidRDefault="00634706" w:rsidP="00634706">
      <w:pPr>
        <w:pStyle w:val="Heading2"/>
        <w:rPr>
          <w:noProof/>
          <w:lang w:eastAsia="zh-CN"/>
        </w:rPr>
      </w:pPr>
      <w:r w:rsidRPr="00EB28B5">
        <w:rPr>
          <w:noProof/>
          <w:lang w:eastAsia="zh-CN"/>
        </w:rPr>
        <w:t>2.3</w:t>
      </w:r>
      <w:r w:rsidRPr="00EB28B5">
        <w:rPr>
          <w:noProof/>
          <w:lang w:eastAsia="zh-CN"/>
        </w:rPr>
        <w:tab/>
        <w:t>Preliminary scoping</w:t>
      </w:r>
    </w:p>
    <w:p w:rsidR="00634706" w:rsidRPr="00EB28B5" w:rsidRDefault="00634706" w:rsidP="00634706">
      <w:pPr>
        <w:rPr>
          <w:noProof/>
          <w:lang w:eastAsia="zh-CN"/>
        </w:rPr>
      </w:pPr>
      <w:r w:rsidRPr="00EB28B5">
        <w:rPr>
          <w:noProof/>
          <w:lang w:eastAsia="zh-CN"/>
        </w:rPr>
        <w:t xml:space="preserve">The AMRDs defined in the Resolution </w:t>
      </w:r>
      <w:r w:rsidRPr="00EB28B5">
        <w:rPr>
          <w:b/>
          <w:bCs/>
          <w:noProof/>
          <w:lang w:eastAsia="zh-CN"/>
        </w:rPr>
        <w:t>362 (WRC-15)</w:t>
      </w:r>
      <w:r w:rsidRPr="00EB28B5">
        <w:rPr>
          <w:noProof/>
          <w:lang w:eastAsia="zh-CN"/>
        </w:rPr>
        <w:t xml:space="preserve"> are mostly operating with AIStechnology as </w:t>
      </w:r>
      <w:r w:rsidRPr="00EB28B5">
        <w:rPr>
          <w:noProof/>
        </w:rPr>
        <w:t xml:space="preserve">described in Recommendation </w:t>
      </w:r>
      <w:r w:rsidRPr="00E07CFB">
        <w:rPr>
          <w:rFonts w:hint="eastAsia"/>
          <w:noProof/>
        </w:rPr>
        <w:t>ITU-R M.1371</w:t>
      </w:r>
      <w:r w:rsidRPr="00EB28B5">
        <w:rPr>
          <w:noProof/>
          <w:lang w:eastAsia="zh-CN"/>
        </w:rPr>
        <w:t xml:space="preserve">, orDSC technology as </w:t>
      </w:r>
      <w:r w:rsidRPr="00EB28B5">
        <w:rPr>
          <w:noProof/>
        </w:rPr>
        <w:t xml:space="preserve">described in Recommendation </w:t>
      </w:r>
      <w:r w:rsidRPr="00E07CFB">
        <w:rPr>
          <w:rFonts w:hint="eastAsia"/>
          <w:noProof/>
        </w:rPr>
        <w:t>ITU-R M.</w:t>
      </w:r>
      <w:r w:rsidRPr="00E07CFB">
        <w:rPr>
          <w:rFonts w:hint="eastAsia"/>
          <w:noProof/>
          <w:lang w:eastAsia="zh-CN"/>
        </w:rPr>
        <w:t>49</w:t>
      </w:r>
      <w:r w:rsidRPr="00E07CFB">
        <w:rPr>
          <w:noProof/>
          <w:lang w:eastAsia="zh-CN"/>
        </w:rPr>
        <w:t>3</w:t>
      </w:r>
      <w:r w:rsidRPr="00EB28B5">
        <w:rPr>
          <w:noProof/>
          <w:lang w:eastAsia="zh-CN"/>
        </w:rPr>
        <w:t>. At the 16</w:t>
      </w:r>
      <w:r w:rsidRPr="00EB28B5">
        <w:rPr>
          <w:noProof/>
          <w:vertAlign w:val="superscript"/>
          <w:lang w:eastAsia="zh-CN"/>
        </w:rPr>
        <w:t>th</w:t>
      </w:r>
      <w:r w:rsidRPr="00EB28B5">
        <w:rPr>
          <w:noProof/>
          <w:lang w:eastAsia="zh-CN"/>
        </w:rPr>
        <w:t xml:space="preserve"> meeting of WP5B, it was recognized that t</w:t>
      </w:r>
      <w:r w:rsidRPr="00EB28B5">
        <w:rPr>
          <w:noProof/>
        </w:rPr>
        <w:t xml:space="preserve">he scope of study </w:t>
      </w:r>
      <w:r w:rsidRPr="00EB28B5">
        <w:rPr>
          <w:noProof/>
          <w:lang w:eastAsia="zh-CN"/>
        </w:rPr>
        <w:t>would be</w:t>
      </w:r>
      <w:r w:rsidRPr="00EB28B5">
        <w:rPr>
          <w:noProof/>
        </w:rPr>
        <w:t xml:space="preserve"> limited to devices that use RR Appendix </w:t>
      </w:r>
      <w:r w:rsidRPr="00EB28B5">
        <w:rPr>
          <w:b/>
          <w:noProof/>
        </w:rPr>
        <w:t>18</w:t>
      </w:r>
      <w:r w:rsidRPr="00EB28B5">
        <w:rPr>
          <w:noProof/>
        </w:rPr>
        <w:t>frequencies</w:t>
      </w:r>
      <w:r w:rsidRPr="00EB28B5">
        <w:rPr>
          <w:noProof/>
          <w:lang w:eastAsia="zh-CN"/>
        </w:rPr>
        <w:t>, and the devices such as AIS-SART, AIS-MOB and EPIRB-AIS which are defined in existing recommendations would not be included. At the 12</w:t>
      </w:r>
      <w:r w:rsidRPr="00EB28B5">
        <w:rPr>
          <w:noProof/>
          <w:vertAlign w:val="superscript"/>
          <w:lang w:eastAsia="zh-CN"/>
        </w:rPr>
        <w:t>th</w:t>
      </w:r>
      <w:r w:rsidRPr="00EB28B5">
        <w:rPr>
          <w:noProof/>
          <w:lang w:eastAsia="zh-CN"/>
        </w:rPr>
        <w:t xml:space="preserve"> meeting of IMO/ITU EG, the definition of AMRD was suggested as:</w:t>
      </w:r>
    </w:p>
    <w:p w:rsidR="00634706" w:rsidRPr="00EB28B5" w:rsidRDefault="00634706" w:rsidP="00634706">
      <w:pPr>
        <w:pStyle w:val="enumlev1"/>
        <w:rPr>
          <w:noProof/>
          <w:lang w:eastAsia="zh-CN"/>
        </w:rPr>
      </w:pPr>
      <w:r w:rsidRPr="00EB28B5">
        <w:rPr>
          <w:noProof/>
          <w:lang w:eastAsia="zh-CN"/>
        </w:rPr>
        <w:tab/>
        <w:t>“An autonomous maritime radio device (AMRD) is a mobile station operating at sea and transmitting independently of a ship station or a coast station.</w:t>
      </w:r>
    </w:p>
    <w:p w:rsidR="00634706" w:rsidRPr="00EB28B5" w:rsidRDefault="00634706" w:rsidP="00634706">
      <w:pPr>
        <w:rPr>
          <w:noProof/>
          <w:lang w:eastAsia="zh-CN"/>
        </w:rPr>
      </w:pPr>
      <w:r w:rsidRPr="00EB28B5">
        <w:rPr>
          <w:noProof/>
          <w:lang w:eastAsia="zh-CN"/>
        </w:rPr>
        <w:t>Two groups of AMRDs are identified:</w:t>
      </w:r>
    </w:p>
    <w:p w:rsidR="00634706" w:rsidRPr="00EB28B5" w:rsidRDefault="00634706" w:rsidP="00634706">
      <w:pPr>
        <w:pStyle w:val="enumlev1"/>
        <w:rPr>
          <w:noProof/>
          <w:lang w:eastAsia="zh-CN"/>
        </w:rPr>
      </w:pPr>
      <w:r w:rsidRPr="00EB28B5">
        <w:rPr>
          <w:noProof/>
          <w:lang w:eastAsia="zh-CN"/>
        </w:rPr>
        <w:t>1</w:t>
      </w:r>
      <w:r w:rsidRPr="00EB28B5">
        <w:rPr>
          <w:noProof/>
          <w:lang w:eastAsia="zh-CN"/>
        </w:rPr>
        <w:tab/>
        <w:t>AMRDs that influence the safety of navigation, and</w:t>
      </w:r>
    </w:p>
    <w:p w:rsidR="00634706" w:rsidRPr="00EB28B5" w:rsidRDefault="00634706" w:rsidP="00634706">
      <w:pPr>
        <w:pStyle w:val="enumlev1"/>
        <w:rPr>
          <w:noProof/>
          <w:lang w:eastAsia="zh-CN"/>
        </w:rPr>
      </w:pPr>
      <w:r w:rsidRPr="00EB28B5">
        <w:rPr>
          <w:noProof/>
          <w:lang w:eastAsia="zh-CN"/>
        </w:rPr>
        <w:t>2</w:t>
      </w:r>
      <w:r w:rsidRPr="00EB28B5">
        <w:rPr>
          <w:noProof/>
          <w:lang w:eastAsia="zh-CN"/>
        </w:rPr>
        <w:tab/>
        <w:t>AMRDs that do not influence the safety of navigation.”</w:t>
      </w:r>
    </w:p>
    <w:p w:rsidR="00634706" w:rsidRPr="00EB28B5" w:rsidRDefault="00634706" w:rsidP="00634706">
      <w:pPr>
        <w:rPr>
          <w:noProof/>
          <w:lang w:eastAsia="zh-CN"/>
        </w:rPr>
      </w:pPr>
      <w:r w:rsidRPr="00EB28B5">
        <w:rPr>
          <w:noProof/>
          <w:lang w:eastAsia="zh-CN"/>
        </w:rPr>
        <w:t xml:space="preserve">In the first stage of investigation, AMRDs used in one national market could also be roughly classified into two general groups by purpose of communication, deployment scenario, interested user and some of other factors. </w:t>
      </w:r>
    </w:p>
    <w:p w:rsidR="00634706" w:rsidRPr="00EB28B5" w:rsidRDefault="00634706" w:rsidP="00634706">
      <w:pPr>
        <w:rPr>
          <w:noProof/>
          <w:lang w:eastAsia="zh-CN"/>
        </w:rPr>
      </w:pPr>
      <w:r w:rsidRPr="00EB28B5">
        <w:rPr>
          <w:noProof/>
          <w:lang w:eastAsia="zh-CN"/>
        </w:rPr>
        <w:t xml:space="preserve">The general group A </w:t>
      </w:r>
      <w:bookmarkStart w:id="9" w:name="OLE_LINK4"/>
      <w:bookmarkStart w:id="10" w:name="OLE_LINK5"/>
      <w:r w:rsidRPr="00EB28B5">
        <w:rPr>
          <w:noProof/>
          <w:lang w:eastAsia="zh-CN"/>
        </w:rPr>
        <w:t>includes towed fishing net indicator</w:t>
      </w:r>
      <w:bookmarkEnd w:id="9"/>
      <w:bookmarkEnd w:id="10"/>
      <w:r w:rsidRPr="00EB28B5">
        <w:rPr>
          <w:noProof/>
          <w:lang w:eastAsia="zh-CN"/>
        </w:rPr>
        <w:t xml:space="preserve"> and temporary location beacon for unpowered objects such as floating ice, towed boats or small boats bearing temporary tasks in the area, which have some common natures such as:</w:t>
      </w:r>
    </w:p>
    <w:p w:rsidR="00634706" w:rsidRPr="00EB28B5" w:rsidRDefault="00634706" w:rsidP="00634706">
      <w:pPr>
        <w:pStyle w:val="enumlev1"/>
        <w:rPr>
          <w:noProof/>
          <w:lang w:eastAsia="zh-CN"/>
        </w:rPr>
      </w:pPr>
      <w:r w:rsidRPr="00EB28B5">
        <w:rPr>
          <w:noProof/>
          <w:lang w:eastAsia="zh-CN"/>
        </w:rPr>
        <w:t>–</w:t>
      </w:r>
      <w:r w:rsidRPr="00EB28B5">
        <w:rPr>
          <w:noProof/>
          <w:lang w:eastAsia="zh-CN"/>
        </w:rPr>
        <w:tab/>
        <w:t>they are in moving status, and always moving in the merchant ship route;</w:t>
      </w:r>
    </w:p>
    <w:p w:rsidR="00634706" w:rsidRPr="00EB28B5" w:rsidRDefault="00634706" w:rsidP="00634706">
      <w:pPr>
        <w:pStyle w:val="enumlev1"/>
        <w:rPr>
          <w:noProof/>
          <w:lang w:eastAsia="zh-CN"/>
        </w:rPr>
      </w:pPr>
      <w:r w:rsidRPr="00EB28B5">
        <w:rPr>
          <w:noProof/>
          <w:lang w:eastAsia="zh-CN"/>
        </w:rPr>
        <w:t>–</w:t>
      </w:r>
      <w:r w:rsidRPr="00EB28B5">
        <w:rPr>
          <w:noProof/>
          <w:lang w:eastAsia="zh-CN"/>
        </w:rPr>
        <w:tab/>
        <w:t>the information is broadcasted openly to unspecific users;</w:t>
      </w:r>
    </w:p>
    <w:p w:rsidR="00634706" w:rsidRPr="00EB28B5" w:rsidRDefault="00634706" w:rsidP="00634706">
      <w:pPr>
        <w:pStyle w:val="enumlev1"/>
        <w:rPr>
          <w:noProof/>
          <w:lang w:eastAsia="zh-CN"/>
        </w:rPr>
      </w:pPr>
      <w:r w:rsidRPr="00EB28B5">
        <w:rPr>
          <w:noProof/>
          <w:lang w:eastAsia="zh-CN"/>
        </w:rPr>
        <w:t>–</w:t>
      </w:r>
      <w:r w:rsidRPr="00EB28B5">
        <w:rPr>
          <w:noProof/>
          <w:lang w:eastAsia="zh-CN"/>
        </w:rPr>
        <w:tab/>
        <w:t>they influence the safety of navigation and the sent information need to be read by moving ships.</w:t>
      </w:r>
    </w:p>
    <w:p w:rsidR="00634706" w:rsidRPr="00EB28B5" w:rsidRDefault="00634706" w:rsidP="00634706">
      <w:pPr>
        <w:rPr>
          <w:noProof/>
          <w:lang w:eastAsia="zh-CN"/>
        </w:rPr>
      </w:pPr>
      <w:r w:rsidRPr="00EB28B5">
        <w:rPr>
          <w:noProof/>
          <w:lang w:eastAsia="zh-CN"/>
        </w:rPr>
        <w:t xml:space="preserve">The general group B,such as fixed aquaculture net indicators in some countries and oceanic meteorological or </w:t>
      </w:r>
      <w:r w:rsidRPr="00EB28B5">
        <w:rPr>
          <w:noProof/>
        </w:rPr>
        <w:t>observation</w:t>
      </w:r>
      <w:r w:rsidRPr="00EB28B5">
        <w:rPr>
          <w:noProof/>
          <w:lang w:eastAsia="zh-CN"/>
        </w:rPr>
        <w:t xml:space="preserve"> data transmitters, which have some common natures such as:</w:t>
      </w:r>
    </w:p>
    <w:p w:rsidR="00634706" w:rsidRPr="00EB28B5" w:rsidRDefault="00634706" w:rsidP="00634706">
      <w:pPr>
        <w:pStyle w:val="enumlev1"/>
        <w:rPr>
          <w:noProof/>
          <w:lang w:eastAsia="zh-CN"/>
        </w:rPr>
      </w:pPr>
      <w:r w:rsidRPr="00EB28B5">
        <w:rPr>
          <w:noProof/>
          <w:lang w:eastAsia="zh-CN"/>
        </w:rPr>
        <w:t>–</w:t>
      </w:r>
      <w:r w:rsidRPr="00EB28B5">
        <w:rPr>
          <w:noProof/>
          <w:lang w:eastAsia="zh-CN"/>
        </w:rPr>
        <w:tab/>
        <w:t>they are deployed on a fixed platform, moving within a very small area, or rarely moving;</w:t>
      </w:r>
    </w:p>
    <w:p w:rsidR="00634706" w:rsidRPr="00EB28B5" w:rsidRDefault="00634706" w:rsidP="00634706">
      <w:pPr>
        <w:pStyle w:val="enumlev1"/>
        <w:rPr>
          <w:noProof/>
          <w:lang w:eastAsia="zh-CN"/>
        </w:rPr>
      </w:pPr>
      <w:r w:rsidRPr="00EB28B5">
        <w:rPr>
          <w:noProof/>
          <w:lang w:eastAsia="zh-CN"/>
        </w:rPr>
        <w:t>–</w:t>
      </w:r>
      <w:r w:rsidRPr="00EB28B5">
        <w:rPr>
          <w:noProof/>
          <w:lang w:eastAsia="zh-CN"/>
        </w:rPr>
        <w:tab/>
        <w:t>the interested users are always specific;</w:t>
      </w:r>
    </w:p>
    <w:p w:rsidR="00634706" w:rsidRPr="00EB28B5" w:rsidRDefault="00634706" w:rsidP="00634706">
      <w:pPr>
        <w:pStyle w:val="enumlev1"/>
        <w:rPr>
          <w:noProof/>
          <w:lang w:eastAsia="zh-CN"/>
        </w:rPr>
      </w:pPr>
      <w:r w:rsidRPr="00EB28B5">
        <w:rPr>
          <w:noProof/>
          <w:lang w:eastAsia="zh-CN"/>
        </w:rPr>
        <w:t>–</w:t>
      </w:r>
      <w:r w:rsidRPr="00EB28B5">
        <w:rPr>
          <w:noProof/>
          <w:lang w:eastAsia="zh-CN"/>
        </w:rPr>
        <w:tab/>
        <w:t>they do not influence the safety of navigation, and the information does not need to be read by ships.</w:t>
      </w:r>
    </w:p>
    <w:p w:rsidR="00634706" w:rsidRPr="00EB28B5" w:rsidRDefault="00634706" w:rsidP="00634706">
      <w:pPr>
        <w:pStyle w:val="Heading2"/>
        <w:rPr>
          <w:noProof/>
          <w:lang w:eastAsia="zh-CN"/>
        </w:rPr>
      </w:pPr>
      <w:r w:rsidRPr="00EB28B5">
        <w:rPr>
          <w:noProof/>
          <w:lang w:eastAsia="zh-CN"/>
        </w:rPr>
        <w:t>2.4</w:t>
      </w:r>
      <w:r w:rsidRPr="00EB28B5">
        <w:rPr>
          <w:noProof/>
          <w:lang w:eastAsia="zh-CN"/>
        </w:rPr>
        <w:tab/>
        <w:t>Basic consideration</w:t>
      </w:r>
    </w:p>
    <w:p w:rsidR="00634706" w:rsidRPr="00EB28B5" w:rsidRDefault="00634706" w:rsidP="00634706">
      <w:pPr>
        <w:rPr>
          <w:noProof/>
          <w:lang w:eastAsia="zh-CN"/>
        </w:rPr>
      </w:pPr>
      <w:r w:rsidRPr="00EB28B5">
        <w:rPr>
          <w:noProof/>
        </w:rPr>
        <w:t xml:space="preserve">The discussion below takes </w:t>
      </w:r>
      <w:r w:rsidRPr="00EB28B5">
        <w:rPr>
          <w:noProof/>
          <w:lang w:eastAsia="zh-CN"/>
        </w:rPr>
        <w:t>into account the following factors:</w:t>
      </w:r>
    </w:p>
    <w:p w:rsidR="00634706" w:rsidRPr="00EB28B5" w:rsidRDefault="00634706" w:rsidP="00634706">
      <w:pPr>
        <w:pStyle w:val="enumlev1"/>
        <w:rPr>
          <w:rFonts w:asciiTheme="majorBidi" w:hAnsiTheme="majorBidi" w:cstheme="majorBidi"/>
          <w:noProof/>
          <w:lang w:eastAsia="zh-CN"/>
        </w:rPr>
      </w:pPr>
      <w:r w:rsidRPr="00EB28B5">
        <w:rPr>
          <w:rFonts w:asciiTheme="majorBidi" w:hAnsiTheme="majorBidi" w:cstheme="majorBidi"/>
          <w:noProof/>
          <w:lang w:eastAsia="zh-CN"/>
        </w:rPr>
        <w:t>–</w:t>
      </w:r>
      <w:r w:rsidRPr="00EB28B5">
        <w:rPr>
          <w:rFonts w:asciiTheme="majorBidi" w:hAnsiTheme="majorBidi" w:cstheme="majorBidi"/>
          <w:noProof/>
          <w:lang w:eastAsia="zh-CN"/>
        </w:rPr>
        <w:tab/>
        <w:t>the existing AIS and DSC technologies used by the AMRDs;</w:t>
      </w:r>
    </w:p>
    <w:p w:rsidR="00634706" w:rsidRPr="00EB28B5" w:rsidRDefault="00634706" w:rsidP="00634706">
      <w:pPr>
        <w:pStyle w:val="enumlev1"/>
        <w:rPr>
          <w:rFonts w:asciiTheme="majorBidi" w:hAnsiTheme="majorBidi" w:cstheme="majorBidi"/>
          <w:noProof/>
          <w:lang w:eastAsia="zh-CN"/>
        </w:rPr>
      </w:pPr>
      <w:r w:rsidRPr="00EB28B5">
        <w:rPr>
          <w:rFonts w:asciiTheme="majorBidi" w:hAnsiTheme="majorBidi" w:cstheme="majorBidi"/>
          <w:noProof/>
          <w:lang w:eastAsia="zh-CN"/>
        </w:rPr>
        <w:t>–</w:t>
      </w:r>
      <w:r w:rsidRPr="00EB28B5">
        <w:rPr>
          <w:rFonts w:asciiTheme="majorBidi" w:hAnsiTheme="majorBidi" w:cstheme="majorBidi"/>
          <w:noProof/>
          <w:lang w:eastAsia="zh-CN"/>
        </w:rPr>
        <w:tab/>
        <w:t>the existing numbering system;</w:t>
      </w:r>
    </w:p>
    <w:p w:rsidR="00634706" w:rsidRPr="00EB28B5" w:rsidRDefault="00634706" w:rsidP="00634706">
      <w:pPr>
        <w:pStyle w:val="enumlev1"/>
        <w:rPr>
          <w:rFonts w:asciiTheme="majorBidi" w:hAnsiTheme="majorBidi" w:cstheme="majorBidi"/>
          <w:noProof/>
          <w:lang w:eastAsia="zh-CN"/>
        </w:rPr>
      </w:pPr>
      <w:r w:rsidRPr="00EB28B5">
        <w:rPr>
          <w:rFonts w:asciiTheme="majorBidi" w:hAnsiTheme="majorBidi" w:cstheme="majorBidi"/>
          <w:noProof/>
          <w:lang w:eastAsia="zh-CN"/>
        </w:rPr>
        <w:t>–</w:t>
      </w:r>
      <w:r w:rsidRPr="00EB28B5">
        <w:rPr>
          <w:rFonts w:asciiTheme="majorBidi" w:hAnsiTheme="majorBidi" w:cstheme="majorBidi"/>
          <w:noProof/>
          <w:lang w:eastAsia="zh-CN"/>
        </w:rPr>
        <w:tab/>
        <w:t>the compatibility between different numbering systems;</w:t>
      </w:r>
    </w:p>
    <w:p w:rsidR="00634706" w:rsidRPr="00EB28B5" w:rsidRDefault="00634706" w:rsidP="00634706">
      <w:pPr>
        <w:pStyle w:val="enumlev1"/>
        <w:rPr>
          <w:rFonts w:asciiTheme="majorBidi" w:hAnsiTheme="majorBidi" w:cstheme="majorBidi"/>
          <w:noProof/>
          <w:lang w:eastAsia="zh-CN"/>
        </w:rPr>
      </w:pPr>
      <w:r w:rsidRPr="00EB28B5">
        <w:rPr>
          <w:rFonts w:asciiTheme="majorBidi" w:hAnsiTheme="majorBidi" w:cstheme="majorBidi"/>
          <w:noProof/>
          <w:lang w:eastAsia="zh-CN"/>
        </w:rPr>
        <w:t>–</w:t>
      </w:r>
      <w:r w:rsidRPr="00EB28B5">
        <w:rPr>
          <w:rFonts w:asciiTheme="majorBidi" w:hAnsiTheme="majorBidi" w:cstheme="majorBidi"/>
          <w:noProof/>
          <w:lang w:eastAsia="zh-CN"/>
        </w:rPr>
        <w:tab/>
        <w:t xml:space="preserve">the necessary transition from the existing applications to the future. </w:t>
      </w:r>
    </w:p>
    <w:p w:rsidR="00634706" w:rsidRPr="00EB28B5" w:rsidRDefault="00634706" w:rsidP="00634706">
      <w:pPr>
        <w:rPr>
          <w:noProof/>
          <w:szCs w:val="24"/>
        </w:rPr>
      </w:pPr>
      <w:r w:rsidRPr="00EB28B5">
        <w:rPr>
          <w:noProof/>
          <w:szCs w:val="24"/>
        </w:rPr>
        <w:t>For AMRD there are four things to consider:</w:t>
      </w:r>
    </w:p>
    <w:p w:rsidR="00634706" w:rsidRPr="00EB28B5" w:rsidRDefault="00634706" w:rsidP="00634706">
      <w:pPr>
        <w:pStyle w:val="enumlev1"/>
        <w:rPr>
          <w:noProof/>
        </w:rPr>
      </w:pPr>
      <w:r w:rsidRPr="00EB28B5">
        <w:rPr>
          <w:noProof/>
        </w:rPr>
        <w:t>1</w:t>
      </w:r>
      <w:r w:rsidRPr="00EB28B5">
        <w:rPr>
          <w:noProof/>
        </w:rPr>
        <w:tab/>
        <w:t>Devices that use DSC should conform to latest revision of Recommendation</w:t>
      </w:r>
      <w:r w:rsidRPr="00EB28B5">
        <w:rPr>
          <w:noProof/>
        </w:rPr>
        <w:br/>
      </w:r>
      <w:r w:rsidRPr="00E07CFB">
        <w:rPr>
          <w:noProof/>
        </w:rPr>
        <w:t>ITU-R M.493</w:t>
      </w:r>
      <w:r w:rsidRPr="00EB28B5">
        <w:rPr>
          <w:noProof/>
        </w:rPr>
        <w:t xml:space="preserve">. These devices utilize Channel 70, and they should be identified with a number in accordance with the latest revision of Recommendation </w:t>
      </w:r>
      <w:r w:rsidRPr="00E07CFB">
        <w:rPr>
          <w:noProof/>
        </w:rPr>
        <w:t>ITU-R M.585</w:t>
      </w:r>
      <w:r w:rsidRPr="00EB28B5">
        <w:rPr>
          <w:noProof/>
        </w:rPr>
        <w:t xml:space="preserve">. </w:t>
      </w:r>
      <w:r w:rsidRPr="00EB28B5">
        <w:rPr>
          <w:noProof/>
        </w:rPr>
        <w:br/>
        <w:t>These devices should be considered to effect safety of life and the GMDSS, since they use channels that are used by the GMDSS.</w:t>
      </w:r>
    </w:p>
    <w:p w:rsidR="00634706" w:rsidRPr="00EB28B5" w:rsidRDefault="00634706" w:rsidP="00634706">
      <w:pPr>
        <w:pStyle w:val="enumlev1"/>
        <w:rPr>
          <w:noProof/>
        </w:rPr>
      </w:pPr>
      <w:r w:rsidRPr="00EB28B5">
        <w:rPr>
          <w:noProof/>
        </w:rPr>
        <w:t>2</w:t>
      </w:r>
      <w:r w:rsidRPr="00EB28B5">
        <w:rPr>
          <w:noProof/>
        </w:rPr>
        <w:tab/>
        <w:t>Devices that use AIS should conform to latest revision of Recommendation</w:t>
      </w:r>
      <w:r w:rsidRPr="00EB28B5">
        <w:rPr>
          <w:noProof/>
        </w:rPr>
        <w:br/>
      </w:r>
      <w:r w:rsidRPr="00E07CFB">
        <w:rPr>
          <w:noProof/>
        </w:rPr>
        <w:t>ITU-R M.1371</w:t>
      </w:r>
      <w:r w:rsidRPr="00EB28B5">
        <w:rPr>
          <w:noProof/>
        </w:rPr>
        <w:t xml:space="preserve">. These devices utilize the AIS channels, and they should be identified with a number in accordance with the latest revision of Recommendation </w:t>
      </w:r>
      <w:r w:rsidRPr="00E07CFB">
        <w:rPr>
          <w:noProof/>
        </w:rPr>
        <w:t>ITU-R M.585</w:t>
      </w:r>
      <w:r w:rsidRPr="00EB28B5">
        <w:rPr>
          <w:noProof/>
        </w:rPr>
        <w:t>. These devices should be considered to effect safety of navigation and safety of life, since they share the AIS channels which are used for both safety services and are included in the GMDSS.</w:t>
      </w:r>
    </w:p>
    <w:p w:rsidR="00634706" w:rsidRPr="00EB28B5" w:rsidRDefault="00634706" w:rsidP="00634706">
      <w:pPr>
        <w:pStyle w:val="enumlev1"/>
        <w:rPr>
          <w:noProof/>
        </w:rPr>
      </w:pPr>
      <w:r w:rsidRPr="00EB28B5">
        <w:rPr>
          <w:noProof/>
        </w:rPr>
        <w:t>3</w:t>
      </w:r>
      <w:r w:rsidRPr="00EB28B5">
        <w:rPr>
          <w:noProof/>
        </w:rPr>
        <w:tab/>
        <w:t xml:space="preserve">Devices that are used for maritime service and do not use DSC or AIS may use frequencies from RR Appendix </w:t>
      </w:r>
      <w:r w:rsidRPr="00EB28B5">
        <w:rPr>
          <w:b/>
          <w:bCs/>
          <w:noProof/>
        </w:rPr>
        <w:t>18</w:t>
      </w:r>
      <w:r w:rsidRPr="00EB28B5">
        <w:rPr>
          <w:noProof/>
        </w:rPr>
        <w:t xml:space="preserve"> or some other frequencies, and the numbering scheme is TBD.</w:t>
      </w:r>
    </w:p>
    <w:p w:rsidR="00634706" w:rsidRPr="00EB28B5" w:rsidRDefault="00634706" w:rsidP="00634706">
      <w:pPr>
        <w:pStyle w:val="enumlev1"/>
        <w:rPr>
          <w:noProof/>
        </w:rPr>
      </w:pPr>
      <w:r w:rsidRPr="00EB28B5">
        <w:rPr>
          <w:noProof/>
        </w:rPr>
        <w:t>4</w:t>
      </w:r>
      <w:r w:rsidRPr="00EB28B5">
        <w:rPr>
          <w:noProof/>
        </w:rPr>
        <w:tab/>
        <w:t xml:space="preserve">Devices that are not used for maritime service should not be allowed to use frequencies from RR Appendix </w:t>
      </w:r>
      <w:r w:rsidRPr="00EB28B5">
        <w:rPr>
          <w:b/>
          <w:bCs/>
          <w:noProof/>
        </w:rPr>
        <w:t>18</w:t>
      </w:r>
      <w:r w:rsidRPr="00EB28B5">
        <w:rPr>
          <w:noProof/>
        </w:rPr>
        <w:t xml:space="preserve">. </w:t>
      </w:r>
    </w:p>
    <w:p w:rsidR="00634706" w:rsidRPr="00EB28B5" w:rsidRDefault="00634706" w:rsidP="00634706">
      <w:pPr>
        <w:rPr>
          <w:noProof/>
          <w:lang w:eastAsia="zh-CN"/>
        </w:rPr>
      </w:pPr>
      <w:r w:rsidRPr="00EB28B5">
        <w:rPr>
          <w:noProof/>
          <w:lang w:eastAsia="zh-CN"/>
        </w:rPr>
        <w:t xml:space="preserve">According to the Recommendation </w:t>
      </w:r>
      <w:r w:rsidRPr="00E07CFB">
        <w:rPr>
          <w:rFonts w:hint="eastAsia"/>
          <w:noProof/>
          <w:lang w:eastAsia="zh-CN"/>
        </w:rPr>
        <w:t>ITU-R M.1371-5</w:t>
      </w:r>
      <w:r w:rsidRPr="00EB28B5">
        <w:rPr>
          <w:noProof/>
          <w:lang w:eastAsia="zh-CN"/>
        </w:rPr>
        <w:t xml:space="preserve">, the user identification (User ID) of AIS should be the MMSI. The MMSI is 30 bits long, maximally containing 9 decimal digits.The 9 decimal digits would be the most significant digits limited by the existing recommendation. MMSI is also used in the address and self-identification parts by DSC as described in Recommendation ITU-R M.493as:(M, I) (D, X4) (X5, X6) (X7, X8) (X9, 0). Each pair of digits is coded in ten-bit error-detecting code, which is from 00 to 99. </w:t>
      </w:r>
    </w:p>
    <w:p w:rsidR="00634706" w:rsidRPr="00EB28B5" w:rsidRDefault="00634706" w:rsidP="00634706">
      <w:pPr>
        <w:rPr>
          <w:noProof/>
          <w:lang w:eastAsia="zh-CN"/>
        </w:rPr>
      </w:pPr>
      <w:r w:rsidRPr="00EB28B5">
        <w:rPr>
          <w:noProof/>
          <w:lang w:eastAsia="zh-CN"/>
        </w:rPr>
        <w:t xml:space="preserve">The general group A of AMRDs could continue to operate in the maritime mobile service, and use the existing maritime identities but different from the MMSI defined in Annex 1 of the Recommendation </w:t>
      </w:r>
      <w:r w:rsidRPr="00E07CFB">
        <w:rPr>
          <w:rFonts w:hint="eastAsia"/>
          <w:noProof/>
          <w:lang w:eastAsia="zh-CN"/>
        </w:rPr>
        <w:t>ITU-R M.585-7</w:t>
      </w:r>
      <w:r w:rsidRPr="00EB28B5">
        <w:rPr>
          <w:noProof/>
          <w:lang w:eastAsia="zh-CN"/>
        </w:rPr>
        <w:t>. In this way, it is needed to consider the revision to Annex 2 of the Recommendation for allowing such general kind of devices.</w:t>
      </w:r>
    </w:p>
    <w:p w:rsidR="00634706" w:rsidRPr="00EB28B5" w:rsidRDefault="00634706" w:rsidP="00634706">
      <w:pPr>
        <w:rPr>
          <w:noProof/>
          <w:lang w:eastAsia="zh-CN"/>
        </w:rPr>
      </w:pPr>
      <w:r w:rsidRPr="00EB28B5">
        <w:rPr>
          <w:noProof/>
          <w:lang w:eastAsia="zh-CN"/>
        </w:rPr>
        <w:t>On the other hand, new frequency bands and numbering scheme should be considered for the general group B of AMRDs. But it is noted that the existing technical characteristics limits the significant digits of the new identities. Considering the potential huge number of this kind of devices, if a fully expanded new numbering system is designed, the relevant Recommendations need to be revised on the data stream structure, as well as the operating frequencies.</w:t>
      </w:r>
    </w:p>
    <w:p w:rsidR="00634706" w:rsidRPr="00EB28B5" w:rsidRDefault="00634706" w:rsidP="00634706">
      <w:pPr>
        <w:rPr>
          <w:i/>
          <w:noProof/>
          <w:lang w:eastAsia="zh-CN"/>
        </w:rPr>
      </w:pPr>
      <w:r w:rsidRPr="00EB28B5">
        <w:rPr>
          <w:i/>
          <w:noProof/>
          <w:lang w:eastAsia="zh-CN"/>
        </w:rPr>
        <w:t>[Editor’s note: A new numbering scheme for Group B devices can be any format if they use a different part of the spectrum.]</w:t>
      </w:r>
    </w:p>
    <w:p w:rsidR="00634706" w:rsidRPr="00EB28B5" w:rsidRDefault="00634706" w:rsidP="00634706">
      <w:pPr>
        <w:pStyle w:val="Heading2"/>
        <w:rPr>
          <w:noProof/>
          <w:lang w:eastAsia="zh-CN"/>
        </w:rPr>
      </w:pPr>
      <w:r w:rsidRPr="00EB28B5">
        <w:rPr>
          <w:noProof/>
          <w:lang w:eastAsia="zh-CN"/>
        </w:rPr>
        <w:t>2.5</w:t>
      </w:r>
      <w:r w:rsidRPr="00EB28B5">
        <w:rPr>
          <w:noProof/>
          <w:lang w:eastAsia="zh-CN"/>
        </w:rPr>
        <w:tab/>
        <w:t>Preliminary plan</w:t>
      </w:r>
    </w:p>
    <w:p w:rsidR="00634706" w:rsidRPr="00EB28B5" w:rsidRDefault="00634706" w:rsidP="00634706">
      <w:pPr>
        <w:rPr>
          <w:noProof/>
          <w:lang w:eastAsia="zh-CN"/>
        </w:rPr>
      </w:pPr>
      <w:r w:rsidRPr="00EB28B5">
        <w:rPr>
          <w:noProof/>
          <w:lang w:eastAsia="zh-CN"/>
        </w:rPr>
        <w:t xml:space="preserve">Considering that there are so many kinds of AMRDs made by different manufactures, and the transmission coverage is usually small, one administration proposed two options for preliminary plan of numbering scheme in the format of existing maritime identities defined in the Recommendation </w:t>
      </w:r>
      <w:r w:rsidRPr="00E07CFB">
        <w:rPr>
          <w:rFonts w:hint="eastAsia"/>
          <w:noProof/>
          <w:lang w:eastAsia="zh-CN"/>
        </w:rPr>
        <w:t>ITU-R M.585-7</w:t>
      </w:r>
      <w:r w:rsidR="00E07CFB">
        <w:rPr>
          <w:noProof/>
          <w:lang w:eastAsia="zh-CN"/>
        </w:rPr>
        <w:t xml:space="preserve"> </w:t>
      </w:r>
      <w:r w:rsidRPr="00EB28B5">
        <w:rPr>
          <w:noProof/>
          <w:lang w:eastAsia="zh-CN"/>
        </w:rPr>
        <w:t>for the AMRDs tentatively used by both general groups as following.</w:t>
      </w:r>
    </w:p>
    <w:p w:rsidR="00634706" w:rsidRPr="00EB28B5" w:rsidRDefault="00634706" w:rsidP="00634706">
      <w:pPr>
        <w:rPr>
          <w:b/>
          <w:noProof/>
          <w:lang w:eastAsia="zh-CN"/>
        </w:rPr>
      </w:pPr>
      <w:r w:rsidRPr="00EB28B5">
        <w:rPr>
          <w:b/>
          <w:noProof/>
          <w:lang w:eastAsia="zh-CN"/>
        </w:rPr>
        <w:t>Option 1:</w:t>
      </w:r>
    </w:p>
    <w:p w:rsidR="00634706" w:rsidRPr="00EB28B5" w:rsidRDefault="00634706" w:rsidP="00634706">
      <w:pPr>
        <w:pStyle w:val="enumlev1"/>
        <w:rPr>
          <w:b/>
          <w:noProof/>
          <w:sz w:val="28"/>
          <w:lang w:eastAsia="zh-CN"/>
        </w:rPr>
      </w:pPr>
      <w:r w:rsidRPr="00EB28B5">
        <w:rPr>
          <w:noProof/>
          <w:lang w:eastAsia="zh-CN"/>
        </w:rPr>
        <w:tab/>
        <w:t>[</w:t>
      </w:r>
      <w:r w:rsidRPr="00EB28B5">
        <w:rPr>
          <w:b/>
          <w:noProof/>
          <w:sz w:val="28"/>
          <w:lang w:eastAsia="zh-CN"/>
        </w:rPr>
        <w:t>9</w:t>
      </w:r>
      <w:r w:rsidRPr="00EB28B5">
        <w:rPr>
          <w:b/>
          <w:noProof/>
          <w:sz w:val="28"/>
          <w:vertAlign w:val="subscript"/>
          <w:lang w:eastAsia="zh-CN"/>
        </w:rPr>
        <w:t>1</w:t>
      </w:r>
      <w:r w:rsidRPr="00EB28B5">
        <w:rPr>
          <w:b/>
          <w:noProof/>
          <w:sz w:val="28"/>
          <w:lang w:eastAsia="zh-CN"/>
        </w:rPr>
        <w:t>0</w:t>
      </w:r>
      <w:r w:rsidRPr="00EB28B5">
        <w:rPr>
          <w:b/>
          <w:noProof/>
          <w:sz w:val="28"/>
          <w:vertAlign w:val="subscript"/>
          <w:lang w:eastAsia="zh-CN"/>
        </w:rPr>
        <w:t>2</w:t>
      </w:r>
      <w:r w:rsidRPr="00EB28B5">
        <w:rPr>
          <w:noProof/>
          <w:lang w:eastAsia="zh-CN"/>
        </w:rPr>
        <w:t>]</w:t>
      </w:r>
      <w:r w:rsidRPr="00EB28B5">
        <w:rPr>
          <w:b/>
          <w:noProof/>
          <w:sz w:val="28"/>
          <w:lang w:eastAsia="zh-CN"/>
        </w:rPr>
        <w:t>X</w:t>
      </w:r>
      <w:r w:rsidRPr="00EB28B5">
        <w:rPr>
          <w:b/>
          <w:noProof/>
          <w:sz w:val="28"/>
          <w:vertAlign w:val="subscript"/>
          <w:lang w:eastAsia="zh-CN"/>
        </w:rPr>
        <w:t>3</w:t>
      </w:r>
      <w:r w:rsidRPr="00EB28B5">
        <w:rPr>
          <w:b/>
          <w:noProof/>
          <w:sz w:val="28"/>
          <w:lang w:eastAsia="zh-CN"/>
        </w:rPr>
        <w:t>X</w:t>
      </w:r>
      <w:r w:rsidRPr="00EB28B5">
        <w:rPr>
          <w:b/>
          <w:noProof/>
          <w:sz w:val="28"/>
          <w:vertAlign w:val="subscript"/>
          <w:lang w:eastAsia="zh-CN"/>
        </w:rPr>
        <w:t>4</w:t>
      </w:r>
      <w:r w:rsidRPr="00EB28B5">
        <w:rPr>
          <w:b/>
          <w:noProof/>
          <w:sz w:val="28"/>
          <w:lang w:eastAsia="zh-CN"/>
        </w:rPr>
        <w:t>Z</w:t>
      </w:r>
      <w:r w:rsidRPr="00EB28B5">
        <w:rPr>
          <w:b/>
          <w:noProof/>
          <w:sz w:val="28"/>
          <w:vertAlign w:val="subscript"/>
          <w:lang w:eastAsia="zh-CN"/>
        </w:rPr>
        <w:t>5</w:t>
      </w:r>
      <w:r w:rsidRPr="00EB28B5">
        <w:rPr>
          <w:b/>
          <w:noProof/>
          <w:sz w:val="28"/>
          <w:lang w:eastAsia="zh-CN"/>
        </w:rPr>
        <w:t>Z</w:t>
      </w:r>
      <w:r w:rsidRPr="00EB28B5">
        <w:rPr>
          <w:b/>
          <w:noProof/>
          <w:sz w:val="28"/>
          <w:vertAlign w:val="subscript"/>
          <w:lang w:eastAsia="zh-CN"/>
        </w:rPr>
        <w:t>6</w:t>
      </w:r>
      <w:r w:rsidRPr="00EB28B5">
        <w:rPr>
          <w:b/>
          <w:noProof/>
          <w:sz w:val="28"/>
          <w:lang w:eastAsia="zh-CN"/>
        </w:rPr>
        <w:t>Z</w:t>
      </w:r>
      <w:r w:rsidRPr="00EB28B5">
        <w:rPr>
          <w:b/>
          <w:noProof/>
          <w:sz w:val="28"/>
          <w:vertAlign w:val="subscript"/>
          <w:lang w:eastAsia="zh-CN"/>
        </w:rPr>
        <w:t>7</w:t>
      </w:r>
      <w:r w:rsidRPr="00EB28B5">
        <w:rPr>
          <w:b/>
          <w:noProof/>
          <w:sz w:val="28"/>
          <w:lang w:eastAsia="zh-CN"/>
        </w:rPr>
        <w:t>Z</w:t>
      </w:r>
      <w:r w:rsidRPr="00EB28B5">
        <w:rPr>
          <w:b/>
          <w:noProof/>
          <w:sz w:val="28"/>
          <w:vertAlign w:val="subscript"/>
          <w:lang w:eastAsia="zh-CN"/>
        </w:rPr>
        <w:t>8</w:t>
      </w:r>
      <w:r w:rsidRPr="00EB28B5">
        <w:rPr>
          <w:b/>
          <w:noProof/>
          <w:sz w:val="28"/>
          <w:lang w:eastAsia="zh-CN"/>
        </w:rPr>
        <w:t>Z</w:t>
      </w:r>
      <w:r w:rsidRPr="00EB28B5">
        <w:rPr>
          <w:b/>
          <w:noProof/>
          <w:sz w:val="28"/>
          <w:vertAlign w:val="subscript"/>
          <w:lang w:eastAsia="zh-CN"/>
        </w:rPr>
        <w:t>9</w:t>
      </w:r>
      <w:r w:rsidRPr="00EB28B5">
        <w:rPr>
          <w:noProof/>
          <w:lang w:eastAsia="zh-CN"/>
        </w:rPr>
        <w:t>for the use of general group A]</w:t>
      </w:r>
    </w:p>
    <w:p w:rsidR="00634706" w:rsidRPr="00EB28B5" w:rsidRDefault="00634706" w:rsidP="00634706">
      <w:pPr>
        <w:pStyle w:val="enumlev1"/>
        <w:rPr>
          <w:b/>
          <w:noProof/>
          <w:sz w:val="28"/>
          <w:lang w:eastAsia="zh-CN"/>
        </w:rPr>
      </w:pPr>
      <w:r w:rsidRPr="00EB28B5">
        <w:rPr>
          <w:b/>
          <w:noProof/>
          <w:sz w:val="28"/>
          <w:lang w:eastAsia="zh-CN"/>
        </w:rPr>
        <w:tab/>
        <w:t>9</w:t>
      </w:r>
      <w:r w:rsidRPr="00EB28B5">
        <w:rPr>
          <w:b/>
          <w:noProof/>
          <w:sz w:val="28"/>
          <w:vertAlign w:val="subscript"/>
          <w:lang w:eastAsia="zh-CN"/>
        </w:rPr>
        <w:t>1</w:t>
      </w:r>
      <w:r w:rsidRPr="00EB28B5">
        <w:rPr>
          <w:b/>
          <w:noProof/>
          <w:sz w:val="28"/>
          <w:lang w:eastAsia="zh-CN"/>
        </w:rPr>
        <w:t>1</w:t>
      </w:r>
      <w:r w:rsidRPr="00EB28B5">
        <w:rPr>
          <w:b/>
          <w:noProof/>
          <w:sz w:val="28"/>
          <w:vertAlign w:val="subscript"/>
          <w:lang w:eastAsia="zh-CN"/>
        </w:rPr>
        <w:t>2</w:t>
      </w:r>
      <w:r w:rsidRPr="00EB28B5">
        <w:rPr>
          <w:b/>
          <w:noProof/>
          <w:sz w:val="28"/>
          <w:lang w:eastAsia="zh-CN"/>
        </w:rPr>
        <w:t>X</w:t>
      </w:r>
      <w:r w:rsidRPr="00EB28B5">
        <w:rPr>
          <w:b/>
          <w:noProof/>
          <w:sz w:val="28"/>
          <w:vertAlign w:val="subscript"/>
          <w:lang w:eastAsia="zh-CN"/>
        </w:rPr>
        <w:t>3</w:t>
      </w:r>
      <w:r w:rsidRPr="00EB28B5">
        <w:rPr>
          <w:b/>
          <w:noProof/>
          <w:sz w:val="28"/>
          <w:lang w:eastAsia="zh-CN"/>
        </w:rPr>
        <w:t>X</w:t>
      </w:r>
      <w:r w:rsidRPr="00EB28B5">
        <w:rPr>
          <w:b/>
          <w:noProof/>
          <w:sz w:val="28"/>
          <w:vertAlign w:val="subscript"/>
          <w:lang w:eastAsia="zh-CN"/>
        </w:rPr>
        <w:t>4</w:t>
      </w:r>
      <w:r w:rsidRPr="00EB28B5">
        <w:rPr>
          <w:b/>
          <w:noProof/>
          <w:sz w:val="28"/>
          <w:lang w:eastAsia="zh-CN"/>
        </w:rPr>
        <w:t>Z</w:t>
      </w:r>
      <w:r w:rsidRPr="00EB28B5">
        <w:rPr>
          <w:b/>
          <w:noProof/>
          <w:sz w:val="28"/>
          <w:vertAlign w:val="subscript"/>
          <w:lang w:eastAsia="zh-CN"/>
        </w:rPr>
        <w:t>5</w:t>
      </w:r>
      <w:r w:rsidRPr="00EB28B5">
        <w:rPr>
          <w:b/>
          <w:noProof/>
          <w:sz w:val="28"/>
          <w:lang w:eastAsia="zh-CN"/>
        </w:rPr>
        <w:t>Z</w:t>
      </w:r>
      <w:r w:rsidRPr="00EB28B5">
        <w:rPr>
          <w:b/>
          <w:noProof/>
          <w:sz w:val="28"/>
          <w:vertAlign w:val="subscript"/>
          <w:lang w:eastAsia="zh-CN"/>
        </w:rPr>
        <w:t>6</w:t>
      </w:r>
      <w:r w:rsidRPr="00EB28B5">
        <w:rPr>
          <w:b/>
          <w:noProof/>
          <w:sz w:val="28"/>
          <w:lang w:eastAsia="zh-CN"/>
        </w:rPr>
        <w:t>Z</w:t>
      </w:r>
      <w:r w:rsidRPr="00EB28B5">
        <w:rPr>
          <w:b/>
          <w:noProof/>
          <w:sz w:val="28"/>
          <w:vertAlign w:val="subscript"/>
          <w:lang w:eastAsia="zh-CN"/>
        </w:rPr>
        <w:t>7</w:t>
      </w:r>
      <w:r w:rsidRPr="00EB28B5">
        <w:rPr>
          <w:b/>
          <w:noProof/>
          <w:sz w:val="28"/>
          <w:lang w:eastAsia="zh-CN"/>
        </w:rPr>
        <w:t>Z</w:t>
      </w:r>
      <w:r w:rsidRPr="00EB28B5">
        <w:rPr>
          <w:b/>
          <w:noProof/>
          <w:sz w:val="28"/>
          <w:vertAlign w:val="subscript"/>
          <w:lang w:eastAsia="zh-CN"/>
        </w:rPr>
        <w:t>8</w:t>
      </w:r>
      <w:r w:rsidRPr="00EB28B5">
        <w:rPr>
          <w:b/>
          <w:noProof/>
          <w:sz w:val="28"/>
          <w:lang w:eastAsia="zh-CN"/>
        </w:rPr>
        <w:t>Z</w:t>
      </w:r>
      <w:r w:rsidRPr="00EB28B5">
        <w:rPr>
          <w:b/>
          <w:noProof/>
          <w:sz w:val="28"/>
          <w:vertAlign w:val="subscript"/>
          <w:lang w:eastAsia="zh-CN"/>
        </w:rPr>
        <w:t>9</w:t>
      </w:r>
      <w:r w:rsidRPr="00EB28B5">
        <w:rPr>
          <w:noProof/>
          <w:szCs w:val="24"/>
          <w:lang w:eastAsia="zh-CN"/>
        </w:rPr>
        <w:t xml:space="preserve">for the tentative use of </w:t>
      </w:r>
      <w:r w:rsidRPr="00EB28B5">
        <w:rPr>
          <w:noProof/>
          <w:lang w:eastAsia="zh-CN"/>
        </w:rPr>
        <w:t>g</w:t>
      </w:r>
      <w:r w:rsidRPr="00EB28B5">
        <w:rPr>
          <w:noProof/>
          <w:szCs w:val="24"/>
          <w:lang w:eastAsia="zh-CN"/>
        </w:rPr>
        <w:t>eneral group B during the transition period</w:t>
      </w:r>
    </w:p>
    <w:p w:rsidR="00634706" w:rsidRPr="00EB28B5" w:rsidRDefault="00634706" w:rsidP="00634706">
      <w:pPr>
        <w:pStyle w:val="enumlev2"/>
        <w:rPr>
          <w:noProof/>
          <w:lang w:eastAsia="zh-CN"/>
        </w:rPr>
      </w:pPr>
      <w:r w:rsidRPr="00EB28B5">
        <w:rPr>
          <w:b/>
          <w:noProof/>
          <w:sz w:val="28"/>
          <w:lang w:eastAsia="zh-CN"/>
        </w:rPr>
        <w:tab/>
        <w:t>9</w:t>
      </w:r>
      <w:r w:rsidRPr="00EB28B5">
        <w:rPr>
          <w:b/>
          <w:noProof/>
          <w:sz w:val="28"/>
          <w:vertAlign w:val="subscript"/>
          <w:lang w:eastAsia="zh-CN"/>
        </w:rPr>
        <w:t>1</w:t>
      </w:r>
      <w:r w:rsidRPr="00EB28B5">
        <w:rPr>
          <w:b/>
          <w:noProof/>
          <w:sz w:val="28"/>
          <w:lang w:eastAsia="zh-CN"/>
        </w:rPr>
        <w:t>0</w:t>
      </w:r>
      <w:r w:rsidRPr="00EB28B5">
        <w:rPr>
          <w:b/>
          <w:noProof/>
          <w:sz w:val="28"/>
          <w:vertAlign w:val="subscript"/>
          <w:lang w:eastAsia="zh-CN"/>
        </w:rPr>
        <w:t>2</w:t>
      </w:r>
      <w:r w:rsidRPr="00EB28B5">
        <w:rPr>
          <w:noProof/>
          <w:lang w:eastAsia="zh-CN"/>
        </w:rPr>
        <w:t>(</w:t>
      </w:r>
      <w:r w:rsidRPr="00EB28B5">
        <w:rPr>
          <w:b/>
          <w:noProof/>
          <w:sz w:val="28"/>
          <w:lang w:eastAsia="zh-CN"/>
        </w:rPr>
        <w:t>1</w:t>
      </w:r>
      <w:r w:rsidRPr="00EB28B5">
        <w:rPr>
          <w:b/>
          <w:noProof/>
          <w:sz w:val="28"/>
          <w:vertAlign w:val="subscript"/>
          <w:lang w:eastAsia="zh-CN"/>
        </w:rPr>
        <w:t>2</w:t>
      </w:r>
      <w:r w:rsidRPr="00EB28B5">
        <w:rPr>
          <w:noProof/>
          <w:lang w:eastAsia="zh-CN"/>
        </w:rPr>
        <w:t>) –the prefix of the number;</w:t>
      </w:r>
    </w:p>
    <w:p w:rsidR="00634706" w:rsidRPr="00EB28B5" w:rsidRDefault="00634706" w:rsidP="00634706">
      <w:pPr>
        <w:pStyle w:val="enumlev2"/>
        <w:rPr>
          <w:noProof/>
          <w:lang w:eastAsia="zh-CN"/>
        </w:rPr>
      </w:pPr>
      <w:r w:rsidRPr="00EB28B5">
        <w:rPr>
          <w:noProof/>
          <w:lang w:eastAsia="zh-CN"/>
        </w:rPr>
        <w:tab/>
      </w:r>
      <w:r w:rsidRPr="00EB28B5">
        <w:rPr>
          <w:b/>
          <w:noProof/>
          <w:sz w:val="28"/>
          <w:lang w:eastAsia="zh-CN"/>
        </w:rPr>
        <w:t>X</w:t>
      </w:r>
      <w:r w:rsidRPr="00EB28B5">
        <w:rPr>
          <w:b/>
          <w:noProof/>
          <w:sz w:val="28"/>
          <w:vertAlign w:val="subscript"/>
          <w:lang w:eastAsia="zh-CN"/>
        </w:rPr>
        <w:t>3</w:t>
      </w:r>
      <w:r w:rsidRPr="00EB28B5">
        <w:rPr>
          <w:b/>
          <w:noProof/>
          <w:sz w:val="28"/>
          <w:lang w:eastAsia="zh-CN"/>
        </w:rPr>
        <w:t>X</w:t>
      </w:r>
      <w:r w:rsidRPr="00EB28B5">
        <w:rPr>
          <w:b/>
          <w:noProof/>
          <w:sz w:val="28"/>
          <w:vertAlign w:val="subscript"/>
          <w:lang w:eastAsia="zh-CN"/>
        </w:rPr>
        <w:t>4</w:t>
      </w:r>
      <w:r w:rsidRPr="00EB28B5">
        <w:rPr>
          <w:noProof/>
          <w:lang w:eastAsia="zh-CN"/>
        </w:rPr>
        <w:t>– indication of the individual group of the AMRDs. It could be harmonized globally, or regulated by national authorities according to national conditions. For example, 00 represents towed fishing net indicators or aquaculture net indicators, 05 represents wave-gliders or oceanic meteorological data transmitters, 10 represents floating ice indicators, etc.</w:t>
      </w:r>
    </w:p>
    <w:p w:rsidR="00634706" w:rsidRPr="00EB28B5" w:rsidRDefault="00634706" w:rsidP="00634706">
      <w:pPr>
        <w:pStyle w:val="enumlev2"/>
        <w:rPr>
          <w:noProof/>
          <w:lang w:eastAsia="zh-CN"/>
        </w:rPr>
      </w:pPr>
      <w:r w:rsidRPr="00EB28B5">
        <w:rPr>
          <w:b/>
          <w:noProof/>
          <w:sz w:val="28"/>
          <w:lang w:eastAsia="zh-CN"/>
        </w:rPr>
        <w:tab/>
        <w:t>Z</w:t>
      </w:r>
      <w:r w:rsidRPr="00EB28B5">
        <w:rPr>
          <w:b/>
          <w:noProof/>
          <w:sz w:val="28"/>
          <w:vertAlign w:val="subscript"/>
          <w:lang w:eastAsia="zh-CN"/>
        </w:rPr>
        <w:t>5</w:t>
      </w:r>
      <w:r w:rsidRPr="00EB28B5">
        <w:rPr>
          <w:b/>
          <w:noProof/>
          <w:sz w:val="28"/>
          <w:lang w:eastAsia="zh-CN"/>
        </w:rPr>
        <w:t>Z</w:t>
      </w:r>
      <w:r w:rsidRPr="00EB28B5">
        <w:rPr>
          <w:b/>
          <w:noProof/>
          <w:sz w:val="28"/>
          <w:vertAlign w:val="subscript"/>
          <w:lang w:eastAsia="zh-CN"/>
        </w:rPr>
        <w:t>6</w:t>
      </w:r>
      <w:r w:rsidRPr="00EB28B5">
        <w:rPr>
          <w:b/>
          <w:noProof/>
          <w:sz w:val="28"/>
          <w:lang w:eastAsia="zh-CN"/>
        </w:rPr>
        <w:t>Z</w:t>
      </w:r>
      <w:r w:rsidRPr="00EB28B5">
        <w:rPr>
          <w:b/>
          <w:noProof/>
          <w:sz w:val="28"/>
          <w:vertAlign w:val="subscript"/>
          <w:lang w:eastAsia="zh-CN"/>
        </w:rPr>
        <w:t>7</w:t>
      </w:r>
      <w:r w:rsidRPr="00EB28B5">
        <w:rPr>
          <w:b/>
          <w:noProof/>
          <w:sz w:val="28"/>
          <w:lang w:eastAsia="zh-CN"/>
        </w:rPr>
        <w:t>Z</w:t>
      </w:r>
      <w:r w:rsidRPr="00EB28B5">
        <w:rPr>
          <w:b/>
          <w:noProof/>
          <w:sz w:val="28"/>
          <w:vertAlign w:val="subscript"/>
          <w:lang w:eastAsia="zh-CN"/>
        </w:rPr>
        <w:t>8</w:t>
      </w:r>
      <w:r w:rsidRPr="00EB28B5">
        <w:rPr>
          <w:b/>
          <w:noProof/>
          <w:sz w:val="28"/>
          <w:lang w:eastAsia="zh-CN"/>
        </w:rPr>
        <w:t>Z</w:t>
      </w:r>
      <w:r w:rsidRPr="00EB28B5">
        <w:rPr>
          <w:b/>
          <w:noProof/>
          <w:sz w:val="28"/>
          <w:vertAlign w:val="subscript"/>
          <w:lang w:eastAsia="zh-CN"/>
        </w:rPr>
        <w:t>9</w:t>
      </w:r>
      <w:r w:rsidRPr="00EB28B5">
        <w:rPr>
          <w:noProof/>
          <w:lang w:eastAsia="zh-CN"/>
        </w:rPr>
        <w:t>–the series number. The largest number for each reserved individual group indicators is 100 000.</w:t>
      </w:r>
    </w:p>
    <w:p w:rsidR="00634706" w:rsidRPr="00EB28B5" w:rsidRDefault="00634706" w:rsidP="00634706">
      <w:pPr>
        <w:rPr>
          <w:b/>
          <w:noProof/>
          <w:lang w:eastAsia="zh-CN"/>
        </w:rPr>
      </w:pPr>
      <w:r w:rsidRPr="00EB28B5">
        <w:rPr>
          <w:b/>
          <w:noProof/>
          <w:lang w:eastAsia="zh-CN"/>
        </w:rPr>
        <w:t>Option 2:</w:t>
      </w:r>
    </w:p>
    <w:p w:rsidR="00634706" w:rsidRPr="00EB28B5" w:rsidRDefault="00634706" w:rsidP="00634706">
      <w:pPr>
        <w:pStyle w:val="enumlev1"/>
        <w:rPr>
          <w:b/>
          <w:noProof/>
          <w:sz w:val="28"/>
          <w:lang w:eastAsia="zh-CN"/>
        </w:rPr>
      </w:pPr>
      <w:r w:rsidRPr="00EB28B5">
        <w:rPr>
          <w:noProof/>
          <w:lang w:eastAsia="zh-CN"/>
        </w:rPr>
        <w:tab/>
        <w:t>[</w:t>
      </w:r>
      <w:r w:rsidRPr="00EB28B5">
        <w:rPr>
          <w:b/>
          <w:noProof/>
          <w:sz w:val="28"/>
          <w:lang w:eastAsia="zh-CN"/>
        </w:rPr>
        <w:t>9</w:t>
      </w:r>
      <w:r w:rsidRPr="00EB28B5">
        <w:rPr>
          <w:b/>
          <w:noProof/>
          <w:sz w:val="28"/>
          <w:vertAlign w:val="subscript"/>
          <w:lang w:eastAsia="zh-CN"/>
        </w:rPr>
        <w:t>1</w:t>
      </w:r>
      <w:r w:rsidRPr="00EB28B5">
        <w:rPr>
          <w:b/>
          <w:noProof/>
          <w:sz w:val="28"/>
          <w:lang w:eastAsia="zh-CN"/>
        </w:rPr>
        <w:t>0</w:t>
      </w:r>
      <w:r w:rsidRPr="00EB28B5">
        <w:rPr>
          <w:b/>
          <w:noProof/>
          <w:sz w:val="28"/>
          <w:vertAlign w:val="subscript"/>
          <w:lang w:eastAsia="zh-CN"/>
        </w:rPr>
        <w:t>2</w:t>
      </w:r>
      <w:r w:rsidRPr="00EB28B5">
        <w:rPr>
          <w:noProof/>
          <w:lang w:eastAsia="zh-CN"/>
        </w:rPr>
        <w:t>]</w:t>
      </w:r>
      <w:r w:rsidRPr="00EB28B5">
        <w:rPr>
          <w:b/>
          <w:noProof/>
          <w:sz w:val="28"/>
          <w:lang w:eastAsia="zh-CN"/>
        </w:rPr>
        <w:t>X</w:t>
      </w:r>
      <w:r w:rsidRPr="00EB28B5">
        <w:rPr>
          <w:b/>
          <w:noProof/>
          <w:sz w:val="28"/>
          <w:vertAlign w:val="subscript"/>
          <w:lang w:eastAsia="zh-CN"/>
        </w:rPr>
        <w:t>3</w:t>
      </w:r>
      <w:r w:rsidRPr="00EB28B5">
        <w:rPr>
          <w:b/>
          <w:noProof/>
          <w:sz w:val="28"/>
          <w:lang w:eastAsia="zh-CN"/>
        </w:rPr>
        <w:t>X</w:t>
      </w:r>
      <w:r w:rsidRPr="00EB28B5">
        <w:rPr>
          <w:b/>
          <w:noProof/>
          <w:sz w:val="28"/>
          <w:vertAlign w:val="subscript"/>
          <w:lang w:eastAsia="zh-CN"/>
        </w:rPr>
        <w:t>4</w:t>
      </w:r>
      <w:r w:rsidRPr="00EB28B5">
        <w:rPr>
          <w:b/>
          <w:noProof/>
          <w:sz w:val="28"/>
          <w:lang w:eastAsia="zh-CN"/>
        </w:rPr>
        <w:t>Y</w:t>
      </w:r>
      <w:r w:rsidRPr="00EB28B5">
        <w:rPr>
          <w:b/>
          <w:noProof/>
          <w:sz w:val="28"/>
          <w:vertAlign w:val="subscript"/>
          <w:lang w:eastAsia="zh-CN"/>
        </w:rPr>
        <w:t>5</w:t>
      </w:r>
      <w:r w:rsidRPr="00EB28B5">
        <w:rPr>
          <w:b/>
          <w:noProof/>
          <w:sz w:val="28"/>
          <w:lang w:eastAsia="zh-CN"/>
        </w:rPr>
        <w:t>Y</w:t>
      </w:r>
      <w:r w:rsidRPr="00EB28B5">
        <w:rPr>
          <w:b/>
          <w:noProof/>
          <w:sz w:val="28"/>
          <w:vertAlign w:val="subscript"/>
          <w:lang w:eastAsia="zh-CN"/>
        </w:rPr>
        <w:t>6</w:t>
      </w:r>
      <w:r w:rsidRPr="00EB28B5">
        <w:rPr>
          <w:b/>
          <w:noProof/>
          <w:sz w:val="28"/>
          <w:lang w:eastAsia="zh-CN"/>
        </w:rPr>
        <w:t>Z</w:t>
      </w:r>
      <w:r w:rsidRPr="00EB28B5">
        <w:rPr>
          <w:b/>
          <w:noProof/>
          <w:sz w:val="28"/>
          <w:vertAlign w:val="subscript"/>
          <w:lang w:eastAsia="zh-CN"/>
        </w:rPr>
        <w:t>7</w:t>
      </w:r>
      <w:r w:rsidRPr="00EB28B5">
        <w:rPr>
          <w:b/>
          <w:noProof/>
          <w:sz w:val="28"/>
          <w:lang w:eastAsia="zh-CN"/>
        </w:rPr>
        <w:t>Z</w:t>
      </w:r>
      <w:r w:rsidRPr="00EB28B5">
        <w:rPr>
          <w:b/>
          <w:noProof/>
          <w:sz w:val="28"/>
          <w:vertAlign w:val="subscript"/>
          <w:lang w:eastAsia="zh-CN"/>
        </w:rPr>
        <w:t>8</w:t>
      </w:r>
      <w:r w:rsidRPr="00EB28B5">
        <w:rPr>
          <w:b/>
          <w:noProof/>
          <w:sz w:val="28"/>
          <w:lang w:eastAsia="zh-CN"/>
        </w:rPr>
        <w:t>Z</w:t>
      </w:r>
      <w:r w:rsidRPr="00EB28B5">
        <w:rPr>
          <w:b/>
          <w:noProof/>
          <w:sz w:val="28"/>
          <w:vertAlign w:val="subscript"/>
          <w:lang w:eastAsia="zh-CN"/>
        </w:rPr>
        <w:t>9</w:t>
      </w:r>
      <w:r w:rsidRPr="00EB28B5">
        <w:rPr>
          <w:noProof/>
          <w:szCs w:val="24"/>
          <w:lang w:eastAsia="zh-CN"/>
        </w:rPr>
        <w:t xml:space="preserve">for the use </w:t>
      </w:r>
      <w:r w:rsidRPr="00EB28B5">
        <w:rPr>
          <w:noProof/>
          <w:lang w:eastAsia="zh-CN"/>
        </w:rPr>
        <w:t>of</w:t>
      </w:r>
      <w:r w:rsidRPr="00EB28B5">
        <w:rPr>
          <w:noProof/>
          <w:szCs w:val="24"/>
          <w:lang w:eastAsia="zh-CN"/>
        </w:rPr>
        <w:t>general group A</w:t>
      </w:r>
    </w:p>
    <w:p w:rsidR="00634706" w:rsidRPr="00EB28B5" w:rsidRDefault="00634706" w:rsidP="00634706">
      <w:pPr>
        <w:pStyle w:val="enumlev1"/>
        <w:rPr>
          <w:b/>
          <w:noProof/>
          <w:sz w:val="28"/>
          <w:lang w:eastAsia="zh-CN"/>
        </w:rPr>
      </w:pPr>
      <w:r w:rsidRPr="00EB28B5">
        <w:rPr>
          <w:b/>
          <w:noProof/>
          <w:sz w:val="28"/>
          <w:lang w:eastAsia="zh-CN"/>
        </w:rPr>
        <w:tab/>
        <w:t>9</w:t>
      </w:r>
      <w:r w:rsidRPr="00EB28B5">
        <w:rPr>
          <w:b/>
          <w:noProof/>
          <w:sz w:val="28"/>
          <w:vertAlign w:val="subscript"/>
          <w:lang w:eastAsia="zh-CN"/>
        </w:rPr>
        <w:t>1</w:t>
      </w:r>
      <w:r w:rsidRPr="00EB28B5">
        <w:rPr>
          <w:b/>
          <w:noProof/>
          <w:sz w:val="28"/>
          <w:lang w:eastAsia="zh-CN"/>
        </w:rPr>
        <w:t>1</w:t>
      </w:r>
      <w:r w:rsidRPr="00EB28B5">
        <w:rPr>
          <w:b/>
          <w:noProof/>
          <w:sz w:val="28"/>
          <w:vertAlign w:val="subscript"/>
          <w:lang w:eastAsia="zh-CN"/>
        </w:rPr>
        <w:t>2</w:t>
      </w:r>
      <w:r w:rsidRPr="00EB28B5">
        <w:rPr>
          <w:b/>
          <w:noProof/>
          <w:sz w:val="28"/>
          <w:lang w:eastAsia="zh-CN"/>
        </w:rPr>
        <w:t>X</w:t>
      </w:r>
      <w:r w:rsidRPr="00EB28B5">
        <w:rPr>
          <w:b/>
          <w:noProof/>
          <w:sz w:val="28"/>
          <w:vertAlign w:val="subscript"/>
          <w:lang w:eastAsia="zh-CN"/>
        </w:rPr>
        <w:t>3</w:t>
      </w:r>
      <w:r w:rsidRPr="00EB28B5">
        <w:rPr>
          <w:b/>
          <w:noProof/>
          <w:sz w:val="28"/>
          <w:lang w:eastAsia="zh-CN"/>
        </w:rPr>
        <w:t>X</w:t>
      </w:r>
      <w:r w:rsidRPr="00EB28B5">
        <w:rPr>
          <w:b/>
          <w:noProof/>
          <w:sz w:val="28"/>
          <w:vertAlign w:val="subscript"/>
          <w:lang w:eastAsia="zh-CN"/>
        </w:rPr>
        <w:t>4</w:t>
      </w:r>
      <w:r w:rsidRPr="00EB28B5">
        <w:rPr>
          <w:b/>
          <w:noProof/>
          <w:sz w:val="28"/>
          <w:lang w:eastAsia="zh-CN"/>
        </w:rPr>
        <w:t>Y</w:t>
      </w:r>
      <w:r w:rsidRPr="00EB28B5">
        <w:rPr>
          <w:b/>
          <w:noProof/>
          <w:sz w:val="28"/>
          <w:vertAlign w:val="subscript"/>
          <w:lang w:eastAsia="zh-CN"/>
        </w:rPr>
        <w:t>5</w:t>
      </w:r>
      <w:r w:rsidRPr="00EB28B5">
        <w:rPr>
          <w:b/>
          <w:noProof/>
          <w:sz w:val="28"/>
          <w:lang w:eastAsia="zh-CN"/>
        </w:rPr>
        <w:t>Y</w:t>
      </w:r>
      <w:r w:rsidRPr="00EB28B5">
        <w:rPr>
          <w:b/>
          <w:noProof/>
          <w:sz w:val="28"/>
          <w:vertAlign w:val="subscript"/>
          <w:lang w:eastAsia="zh-CN"/>
        </w:rPr>
        <w:t>6</w:t>
      </w:r>
      <w:r w:rsidRPr="00EB28B5">
        <w:rPr>
          <w:b/>
          <w:noProof/>
          <w:sz w:val="28"/>
          <w:lang w:eastAsia="zh-CN"/>
        </w:rPr>
        <w:t>Z</w:t>
      </w:r>
      <w:r w:rsidRPr="00EB28B5">
        <w:rPr>
          <w:b/>
          <w:noProof/>
          <w:sz w:val="28"/>
          <w:vertAlign w:val="subscript"/>
          <w:lang w:eastAsia="zh-CN"/>
        </w:rPr>
        <w:t>7</w:t>
      </w:r>
      <w:r w:rsidRPr="00EB28B5">
        <w:rPr>
          <w:b/>
          <w:noProof/>
          <w:sz w:val="28"/>
          <w:lang w:eastAsia="zh-CN"/>
        </w:rPr>
        <w:t>Z</w:t>
      </w:r>
      <w:r w:rsidRPr="00EB28B5">
        <w:rPr>
          <w:b/>
          <w:noProof/>
          <w:sz w:val="28"/>
          <w:vertAlign w:val="subscript"/>
          <w:lang w:eastAsia="zh-CN"/>
        </w:rPr>
        <w:t>8</w:t>
      </w:r>
      <w:r w:rsidRPr="00EB28B5">
        <w:rPr>
          <w:b/>
          <w:noProof/>
          <w:sz w:val="28"/>
          <w:lang w:eastAsia="zh-CN"/>
        </w:rPr>
        <w:t>Z</w:t>
      </w:r>
      <w:r w:rsidRPr="00EB28B5">
        <w:rPr>
          <w:b/>
          <w:noProof/>
          <w:sz w:val="28"/>
          <w:vertAlign w:val="subscript"/>
          <w:lang w:eastAsia="zh-CN"/>
        </w:rPr>
        <w:t>9</w:t>
      </w:r>
      <w:r w:rsidRPr="00EB28B5">
        <w:rPr>
          <w:noProof/>
          <w:szCs w:val="24"/>
          <w:lang w:eastAsia="zh-CN"/>
        </w:rPr>
        <w:t xml:space="preserve">for the </w:t>
      </w:r>
      <w:r w:rsidRPr="00EB28B5">
        <w:rPr>
          <w:noProof/>
          <w:lang w:eastAsia="zh-CN"/>
        </w:rPr>
        <w:t>tentative</w:t>
      </w:r>
      <w:r w:rsidRPr="00EB28B5">
        <w:rPr>
          <w:noProof/>
          <w:szCs w:val="24"/>
          <w:lang w:eastAsia="zh-CN"/>
        </w:rPr>
        <w:t xml:space="preserve"> use of general group B during the transition period</w:t>
      </w:r>
    </w:p>
    <w:p w:rsidR="00634706" w:rsidRPr="00EB28B5" w:rsidRDefault="00634706" w:rsidP="00634706">
      <w:pPr>
        <w:pStyle w:val="enumlev1"/>
        <w:rPr>
          <w:noProof/>
          <w:lang w:eastAsia="zh-CN"/>
        </w:rPr>
      </w:pPr>
      <w:r w:rsidRPr="00EB28B5">
        <w:rPr>
          <w:noProof/>
          <w:lang w:eastAsia="zh-CN"/>
        </w:rPr>
        <w:tab/>
      </w:r>
      <w:r w:rsidRPr="00EB28B5">
        <w:rPr>
          <w:b/>
          <w:noProof/>
          <w:sz w:val="28"/>
          <w:lang w:eastAsia="zh-CN"/>
        </w:rPr>
        <w:t>9</w:t>
      </w:r>
      <w:r w:rsidRPr="00EB28B5">
        <w:rPr>
          <w:b/>
          <w:noProof/>
          <w:sz w:val="28"/>
          <w:vertAlign w:val="subscript"/>
          <w:lang w:eastAsia="zh-CN"/>
        </w:rPr>
        <w:t>1</w:t>
      </w:r>
      <w:r w:rsidRPr="00EB28B5">
        <w:rPr>
          <w:b/>
          <w:noProof/>
          <w:sz w:val="28"/>
          <w:lang w:eastAsia="zh-CN"/>
        </w:rPr>
        <w:t>0</w:t>
      </w:r>
      <w:r w:rsidRPr="00EB28B5">
        <w:rPr>
          <w:b/>
          <w:noProof/>
          <w:sz w:val="28"/>
          <w:vertAlign w:val="subscript"/>
          <w:lang w:eastAsia="zh-CN"/>
        </w:rPr>
        <w:t>2</w:t>
      </w:r>
      <w:r w:rsidRPr="00EB28B5">
        <w:rPr>
          <w:noProof/>
          <w:lang w:eastAsia="zh-CN"/>
        </w:rPr>
        <w:t>(</w:t>
      </w:r>
      <w:r w:rsidRPr="00EB28B5">
        <w:rPr>
          <w:b/>
          <w:noProof/>
          <w:sz w:val="28"/>
          <w:lang w:eastAsia="zh-CN"/>
        </w:rPr>
        <w:t>1</w:t>
      </w:r>
      <w:r w:rsidRPr="00EB28B5">
        <w:rPr>
          <w:b/>
          <w:noProof/>
          <w:sz w:val="28"/>
          <w:vertAlign w:val="subscript"/>
          <w:lang w:eastAsia="zh-CN"/>
        </w:rPr>
        <w:t>2</w:t>
      </w:r>
      <w:r w:rsidRPr="00EB28B5">
        <w:rPr>
          <w:noProof/>
          <w:lang w:eastAsia="zh-CN"/>
        </w:rPr>
        <w:t>)–the prefix of the number;</w:t>
      </w:r>
    </w:p>
    <w:p w:rsidR="00634706" w:rsidRPr="00EB28B5" w:rsidRDefault="00634706" w:rsidP="00634706">
      <w:pPr>
        <w:pStyle w:val="enumlev2"/>
        <w:rPr>
          <w:noProof/>
          <w:lang w:eastAsia="zh-CN"/>
        </w:rPr>
      </w:pPr>
      <w:r w:rsidRPr="00EB28B5">
        <w:rPr>
          <w:noProof/>
          <w:lang w:eastAsia="zh-CN"/>
        </w:rPr>
        <w:tab/>
      </w:r>
      <w:r w:rsidRPr="00EB28B5">
        <w:rPr>
          <w:b/>
          <w:noProof/>
          <w:sz w:val="28"/>
          <w:lang w:eastAsia="zh-CN"/>
        </w:rPr>
        <w:t>X</w:t>
      </w:r>
      <w:r w:rsidRPr="00EB28B5">
        <w:rPr>
          <w:b/>
          <w:noProof/>
          <w:sz w:val="28"/>
          <w:vertAlign w:val="subscript"/>
          <w:lang w:eastAsia="zh-CN"/>
        </w:rPr>
        <w:t>3</w:t>
      </w:r>
      <w:r w:rsidRPr="00EB28B5">
        <w:rPr>
          <w:b/>
          <w:noProof/>
          <w:sz w:val="28"/>
          <w:lang w:eastAsia="zh-CN"/>
        </w:rPr>
        <w:t>X</w:t>
      </w:r>
      <w:r w:rsidRPr="00EB28B5">
        <w:rPr>
          <w:b/>
          <w:noProof/>
          <w:sz w:val="28"/>
          <w:vertAlign w:val="subscript"/>
          <w:lang w:eastAsia="zh-CN"/>
        </w:rPr>
        <w:t>4</w:t>
      </w:r>
      <w:r w:rsidRPr="00EB28B5">
        <w:rPr>
          <w:noProof/>
          <w:lang w:eastAsia="zh-CN"/>
        </w:rPr>
        <w:t xml:space="preserve">– indication of the individual group of the AMRDs, the same as in </w:t>
      </w:r>
      <w:r w:rsidRPr="00EB28B5">
        <w:rPr>
          <w:noProof/>
          <w:lang w:eastAsia="zh-CN"/>
        </w:rPr>
        <w:br/>
        <w:t>Option 1;</w:t>
      </w:r>
    </w:p>
    <w:p w:rsidR="00634706" w:rsidRPr="00EB28B5" w:rsidRDefault="00634706" w:rsidP="00634706">
      <w:pPr>
        <w:pStyle w:val="enumlev2"/>
        <w:rPr>
          <w:noProof/>
          <w:lang w:eastAsia="zh-CN"/>
        </w:rPr>
      </w:pPr>
      <w:r w:rsidRPr="00EB28B5">
        <w:rPr>
          <w:b/>
          <w:noProof/>
          <w:sz w:val="28"/>
          <w:lang w:eastAsia="zh-CN"/>
        </w:rPr>
        <w:tab/>
        <w:t>Y</w:t>
      </w:r>
      <w:r w:rsidRPr="00EB28B5">
        <w:rPr>
          <w:b/>
          <w:noProof/>
          <w:sz w:val="28"/>
          <w:vertAlign w:val="subscript"/>
          <w:lang w:eastAsia="zh-CN"/>
        </w:rPr>
        <w:t>5</w:t>
      </w:r>
      <w:r w:rsidRPr="00EB28B5">
        <w:rPr>
          <w:b/>
          <w:noProof/>
          <w:sz w:val="28"/>
          <w:lang w:eastAsia="zh-CN"/>
        </w:rPr>
        <w:t>Y</w:t>
      </w:r>
      <w:r w:rsidRPr="00EB28B5">
        <w:rPr>
          <w:b/>
          <w:noProof/>
          <w:sz w:val="28"/>
          <w:vertAlign w:val="subscript"/>
          <w:lang w:eastAsia="zh-CN"/>
        </w:rPr>
        <w:t>6</w:t>
      </w:r>
      <w:r w:rsidRPr="00EB28B5">
        <w:rPr>
          <w:noProof/>
          <w:lang w:eastAsia="zh-CN"/>
        </w:rPr>
        <w:t xml:space="preserve">– identities of the manufacturers, assigned by CIRM, or reserved for national authority assignment; </w:t>
      </w:r>
    </w:p>
    <w:p w:rsidR="00634706" w:rsidRPr="00EB28B5" w:rsidRDefault="00634706" w:rsidP="00634706">
      <w:pPr>
        <w:pStyle w:val="enumlev2"/>
        <w:rPr>
          <w:noProof/>
          <w:lang w:eastAsia="zh-CN"/>
        </w:rPr>
      </w:pPr>
      <w:r w:rsidRPr="00EB28B5">
        <w:rPr>
          <w:b/>
          <w:noProof/>
          <w:sz w:val="28"/>
          <w:lang w:eastAsia="zh-CN"/>
        </w:rPr>
        <w:tab/>
        <w:t>Z</w:t>
      </w:r>
      <w:r w:rsidRPr="00EB28B5">
        <w:rPr>
          <w:b/>
          <w:noProof/>
          <w:sz w:val="28"/>
          <w:vertAlign w:val="subscript"/>
          <w:lang w:eastAsia="zh-CN"/>
        </w:rPr>
        <w:t>7</w:t>
      </w:r>
      <w:r w:rsidRPr="00EB28B5">
        <w:rPr>
          <w:b/>
          <w:noProof/>
          <w:sz w:val="28"/>
          <w:lang w:eastAsia="zh-CN"/>
        </w:rPr>
        <w:t>Z</w:t>
      </w:r>
      <w:r w:rsidRPr="00EB28B5">
        <w:rPr>
          <w:b/>
          <w:noProof/>
          <w:sz w:val="28"/>
          <w:vertAlign w:val="subscript"/>
          <w:lang w:eastAsia="zh-CN"/>
        </w:rPr>
        <w:t>8</w:t>
      </w:r>
      <w:r w:rsidRPr="00EB28B5">
        <w:rPr>
          <w:b/>
          <w:noProof/>
          <w:sz w:val="28"/>
          <w:lang w:eastAsia="zh-CN"/>
        </w:rPr>
        <w:t>Z</w:t>
      </w:r>
      <w:r w:rsidRPr="00EB28B5">
        <w:rPr>
          <w:b/>
          <w:noProof/>
          <w:sz w:val="28"/>
          <w:vertAlign w:val="subscript"/>
          <w:lang w:eastAsia="zh-CN"/>
        </w:rPr>
        <w:t>9</w:t>
      </w:r>
      <w:r w:rsidRPr="00EB28B5">
        <w:rPr>
          <w:noProof/>
          <w:lang w:eastAsia="zh-CN"/>
        </w:rPr>
        <w:t>–the series number. The largest number for each reserved individual group indicators is 1 000.</w:t>
      </w:r>
    </w:p>
    <w:p w:rsidR="00634706" w:rsidRPr="00EB28B5" w:rsidRDefault="00634706" w:rsidP="00634706">
      <w:pPr>
        <w:rPr>
          <w:noProof/>
          <w:lang w:eastAsia="zh-CN"/>
        </w:rPr>
      </w:pPr>
      <w:r w:rsidRPr="00EB28B5">
        <w:rPr>
          <w:noProof/>
          <w:lang w:eastAsia="zh-CN"/>
        </w:rPr>
        <w:t xml:space="preserve">It could be noted that both options emphasize the necessity of identifying the individual classification of the AMRDs, since this is very important to the receivers of the information. And the repeat using of the series numbers might be inevitable in both options, very similar as in </w:t>
      </w:r>
      <w:r w:rsidRPr="00EB28B5">
        <w:rPr>
          <w:noProof/>
        </w:rPr>
        <w:t xml:space="preserve">use ofmaritime identities used for other devices </w:t>
      </w:r>
      <w:r w:rsidRPr="00EB28B5">
        <w:rPr>
          <w:noProof/>
          <w:lang w:eastAsia="zh-CN"/>
        </w:rPr>
        <w:t>o</w:t>
      </w:r>
      <w:r w:rsidRPr="00EB28B5">
        <w:rPr>
          <w:noProof/>
        </w:rPr>
        <w:t>f special purposes</w:t>
      </w:r>
      <w:r w:rsidRPr="00EB28B5">
        <w:rPr>
          <w:noProof/>
          <w:lang w:eastAsia="zh-CN"/>
        </w:rPr>
        <w:t xml:space="preserve"> which is defined in Annex 2 of the Recommendation </w:t>
      </w:r>
      <w:r w:rsidRPr="00E07CFB">
        <w:rPr>
          <w:rFonts w:hint="eastAsia"/>
          <w:noProof/>
          <w:lang w:eastAsia="zh-CN"/>
        </w:rPr>
        <w:t xml:space="preserve">ITU-R </w:t>
      </w:r>
      <w:r w:rsidRPr="00E07CFB">
        <w:rPr>
          <w:noProof/>
          <w:lang w:eastAsia="zh-CN"/>
        </w:rPr>
        <w:t>M.</w:t>
      </w:r>
      <w:r w:rsidRPr="00E07CFB">
        <w:rPr>
          <w:rFonts w:hint="eastAsia"/>
          <w:noProof/>
          <w:lang w:eastAsia="zh-CN"/>
        </w:rPr>
        <w:t>585-7</w:t>
      </w:r>
      <w:r w:rsidRPr="00EB28B5">
        <w:rPr>
          <w:noProof/>
          <w:lang w:eastAsia="zh-CN"/>
        </w:rPr>
        <w:t>.</w:t>
      </w:r>
    </w:p>
    <w:p w:rsidR="00634706" w:rsidRPr="00EB28B5" w:rsidRDefault="00634706" w:rsidP="00634706">
      <w:pPr>
        <w:rPr>
          <w:noProof/>
          <w:lang w:eastAsia="zh-CN"/>
        </w:rPr>
      </w:pPr>
      <w:r w:rsidRPr="00EB28B5">
        <w:rPr>
          <w:noProof/>
          <w:lang w:eastAsia="zh-CN"/>
        </w:rPr>
        <w:t>The main difference of the two options is whether to include the identities of the manufacturers in the number. That means in Option 1 all numbers must be centralized assigned and managed by the national authority. The advantages would be:</w:t>
      </w:r>
    </w:p>
    <w:p w:rsidR="00634706" w:rsidRPr="00EB28B5" w:rsidRDefault="00634706" w:rsidP="00634706">
      <w:pPr>
        <w:pStyle w:val="enumlev1"/>
        <w:rPr>
          <w:noProof/>
          <w:lang w:eastAsia="zh-CN"/>
        </w:rPr>
      </w:pPr>
      <w:r w:rsidRPr="00EB28B5">
        <w:rPr>
          <w:noProof/>
          <w:lang w:eastAsia="zh-CN"/>
        </w:rPr>
        <w:t>–</w:t>
      </w:r>
      <w:r w:rsidRPr="00EB28B5">
        <w:rPr>
          <w:noProof/>
          <w:lang w:eastAsia="zh-CN"/>
        </w:rPr>
        <w:tab/>
        <w:t xml:space="preserve">regulate the numbering of AMRDs in a more powerful and efficient way; </w:t>
      </w:r>
    </w:p>
    <w:p w:rsidR="00634706" w:rsidRPr="00EB28B5" w:rsidRDefault="00634706" w:rsidP="00634706">
      <w:pPr>
        <w:pStyle w:val="enumlev1"/>
        <w:rPr>
          <w:noProof/>
          <w:lang w:eastAsia="zh-CN"/>
        </w:rPr>
      </w:pPr>
      <w:r w:rsidRPr="00EB28B5">
        <w:rPr>
          <w:noProof/>
          <w:lang w:eastAsia="zh-CN"/>
        </w:rPr>
        <w:t>–</w:t>
      </w:r>
      <w:r w:rsidRPr="00EB28B5">
        <w:rPr>
          <w:noProof/>
          <w:lang w:eastAsia="zh-CN"/>
        </w:rPr>
        <w:tab/>
        <w:t>the national authority could ensure the SAR organization to get the comprehensive information if necessary in any time;</w:t>
      </w:r>
    </w:p>
    <w:p w:rsidR="00634706" w:rsidRPr="00EB28B5" w:rsidRDefault="00634706" w:rsidP="00634706">
      <w:pPr>
        <w:pStyle w:val="enumlev1"/>
        <w:rPr>
          <w:noProof/>
          <w:lang w:eastAsia="zh-CN"/>
        </w:rPr>
      </w:pPr>
      <w:r w:rsidRPr="00EB28B5">
        <w:rPr>
          <w:noProof/>
          <w:lang w:eastAsia="zh-CN"/>
        </w:rPr>
        <w:t>–</w:t>
      </w:r>
      <w:r w:rsidRPr="00EB28B5">
        <w:rPr>
          <w:noProof/>
          <w:lang w:eastAsia="zh-CN"/>
        </w:rPr>
        <w:tab/>
        <w:t xml:space="preserve">the repeat using of the series numbers might be reduced in some way; </w:t>
      </w:r>
    </w:p>
    <w:p w:rsidR="00634706" w:rsidRPr="00EB28B5" w:rsidRDefault="00634706" w:rsidP="00634706">
      <w:pPr>
        <w:pStyle w:val="enumlev1"/>
        <w:rPr>
          <w:noProof/>
          <w:lang w:eastAsia="zh-CN"/>
        </w:rPr>
      </w:pPr>
      <w:r w:rsidRPr="00EB28B5">
        <w:rPr>
          <w:noProof/>
          <w:lang w:eastAsia="zh-CN"/>
        </w:rPr>
        <w:t>–</w:t>
      </w:r>
      <w:r w:rsidRPr="00EB28B5">
        <w:rPr>
          <w:noProof/>
          <w:lang w:eastAsia="zh-CN"/>
        </w:rPr>
        <w:tab/>
        <w:t>give the flexibility to the authority for plan the numbering scheme according to the national conditions. For example, the authority could also plan one or two of digits to identify the nationalmanufacturers.</w:t>
      </w:r>
    </w:p>
    <w:p w:rsidR="00634706" w:rsidRPr="00EB28B5" w:rsidRDefault="00634706" w:rsidP="00634706">
      <w:pPr>
        <w:rPr>
          <w:noProof/>
          <w:lang w:eastAsia="zh-CN"/>
        </w:rPr>
      </w:pPr>
      <w:r w:rsidRPr="00EB28B5">
        <w:rPr>
          <w:noProof/>
          <w:lang w:eastAsia="zh-CN"/>
        </w:rPr>
        <w:t>However, the disadvantage would be the heavier work load to the managing organization. While in Option 2 the numbers could be assigned and managed by the manufacturers, which seems to be an easier way, but obviously, the advantages of Option 1 will be lost.</w:t>
      </w:r>
    </w:p>
    <w:p w:rsidR="00634706" w:rsidRPr="00EB28B5" w:rsidRDefault="00634706" w:rsidP="00634706">
      <w:pPr>
        <w:rPr>
          <w:noProof/>
          <w:lang w:eastAsia="zh-CN"/>
        </w:rPr>
      </w:pPr>
      <w:r w:rsidRPr="00EB28B5">
        <w:rPr>
          <w:noProof/>
        </w:rPr>
        <w:t xml:space="preserve">The use of a temporary number allocation scheme ‘91’ for general </w:t>
      </w:r>
      <w:r w:rsidRPr="00EB28B5">
        <w:rPr>
          <w:noProof/>
          <w:szCs w:val="24"/>
          <w:lang w:eastAsia="zh-CN"/>
        </w:rPr>
        <w:t>group B</w:t>
      </w:r>
      <w:r w:rsidRPr="00EB28B5">
        <w:rPr>
          <w:noProof/>
        </w:rPr>
        <w:t xml:space="preserve"> devices is undesirable, manufacturers would prefer to just move to a final solution. Also the implication that general group B devices do not influence the safety of navigation as they are fixed and not moving may not be always true.</w:t>
      </w:r>
    </w:p>
    <w:p w:rsidR="00634706" w:rsidRPr="00EB28B5" w:rsidRDefault="00634706" w:rsidP="00634706">
      <w:pPr>
        <w:pStyle w:val="Heading2"/>
        <w:rPr>
          <w:noProof/>
          <w:lang w:eastAsia="zh-CN"/>
        </w:rPr>
      </w:pPr>
      <w:r w:rsidRPr="00EB28B5">
        <w:rPr>
          <w:noProof/>
          <w:lang w:eastAsia="zh-CN"/>
        </w:rPr>
        <w:t>2.6</w:t>
      </w:r>
      <w:r w:rsidRPr="00EB28B5">
        <w:rPr>
          <w:noProof/>
          <w:lang w:eastAsia="zh-CN"/>
        </w:rPr>
        <w:tab/>
        <w:t>Further discussion</w:t>
      </w:r>
    </w:p>
    <w:p w:rsidR="00634706" w:rsidRPr="00EB28B5" w:rsidRDefault="00634706" w:rsidP="00634706">
      <w:pPr>
        <w:rPr>
          <w:noProof/>
          <w:lang w:eastAsia="zh-CN"/>
        </w:rPr>
      </w:pPr>
      <w:r w:rsidRPr="00EB28B5">
        <w:rPr>
          <w:noProof/>
          <w:lang w:eastAsia="zh-CN"/>
        </w:rPr>
        <w:t xml:space="preserve">In the discussion of the numbering issue for the AMRDs, and recalling that need for the future numbering system of the future GMDSS considered during the scoping exercise of GMDSS review, some further discussions were raised without any conclusion. </w:t>
      </w:r>
    </w:p>
    <w:p w:rsidR="00634706" w:rsidRPr="00EB28B5" w:rsidRDefault="00634706" w:rsidP="00634706">
      <w:pPr>
        <w:pStyle w:val="enumlev1"/>
        <w:rPr>
          <w:noProof/>
          <w:lang w:eastAsia="zh-CN"/>
        </w:rPr>
      </w:pPr>
      <w:r w:rsidRPr="00EB28B5">
        <w:rPr>
          <w:noProof/>
          <w:lang w:eastAsia="zh-CN"/>
        </w:rPr>
        <w:t>–</w:t>
      </w:r>
      <w:r w:rsidRPr="00EB28B5">
        <w:rPr>
          <w:noProof/>
          <w:lang w:eastAsia="zh-CN"/>
        </w:rPr>
        <w:tab/>
        <w:t>If there is a need to prepare a unique identity for every single station or equipment or device operating in maritime environment in the future? Such an extended ID has to be compatible with the existing system but may be transmitted in the second or separated message.</w:t>
      </w:r>
    </w:p>
    <w:p w:rsidR="00634706" w:rsidRPr="00EB28B5" w:rsidRDefault="00634706" w:rsidP="00634706">
      <w:pPr>
        <w:pStyle w:val="enumlev1"/>
        <w:rPr>
          <w:noProof/>
          <w:lang w:eastAsia="zh-CN"/>
        </w:rPr>
      </w:pPr>
      <w:r w:rsidRPr="00EB28B5">
        <w:rPr>
          <w:noProof/>
          <w:lang w:eastAsia="zh-CN"/>
        </w:rPr>
        <w:t>–</w:t>
      </w:r>
      <w:r w:rsidRPr="00EB28B5">
        <w:rPr>
          <w:noProof/>
          <w:lang w:eastAsia="zh-CN"/>
        </w:rPr>
        <w:tab/>
        <w:t>Should a different format of numbering system for the new AMRDs be designed, or a harmonized format of numbering system be designed for all stations or equipment or devices operating in the maritime environment?</w:t>
      </w:r>
    </w:p>
    <w:p w:rsidR="00634706" w:rsidRPr="00EB28B5" w:rsidRDefault="00634706" w:rsidP="00634706">
      <w:pPr>
        <w:tabs>
          <w:tab w:val="left" w:pos="0"/>
        </w:tabs>
        <w:rPr>
          <w:noProof/>
          <w:lang w:eastAsia="zh-CN"/>
        </w:rPr>
      </w:pPr>
      <w:r w:rsidRPr="00EB28B5">
        <w:rPr>
          <w:noProof/>
        </w:rPr>
        <w:t xml:space="preserve">The view of the Joint IMO/ITU Experts Group, Document </w:t>
      </w:r>
      <w:commentRangeStart w:id="11"/>
      <w:r w:rsidRPr="00EB28B5">
        <w:fldChar w:fldCharType="begin"/>
      </w:r>
      <w:r w:rsidRPr="00EB28B5">
        <w:rPr>
          <w:noProof/>
        </w:rPr>
        <w:instrText xml:space="preserve"> HYPERLINK "http://www.itu.int/md/R15-WP5B-C-0113/en" </w:instrText>
      </w:r>
      <w:r w:rsidRPr="00EB28B5">
        <w:fldChar w:fldCharType="separate"/>
      </w:r>
      <w:r w:rsidRPr="00EB28B5">
        <w:rPr>
          <w:rStyle w:val="Hyperlink"/>
          <w:bCs/>
          <w:noProof/>
        </w:rPr>
        <w:t>5B/113</w:t>
      </w:r>
      <w:r w:rsidRPr="00EB28B5">
        <w:rPr>
          <w:rStyle w:val="Hyperlink"/>
          <w:bCs/>
          <w:noProof/>
        </w:rPr>
        <w:fldChar w:fldCharType="end"/>
      </w:r>
      <w:commentRangeEnd w:id="11"/>
      <w:r w:rsidRPr="00EB28B5">
        <w:rPr>
          <w:rStyle w:val="CommentReference"/>
          <w:noProof/>
        </w:rPr>
        <w:commentReference w:id="11"/>
      </w:r>
      <w:r w:rsidR="00E07CFB" w:rsidRPr="00E07CFB">
        <w:rPr>
          <w:rStyle w:val="Hyperlink"/>
          <w:bCs/>
          <w:noProof/>
          <w:color w:val="auto"/>
          <w:u w:val="none"/>
        </w:rPr>
        <w:t>, was</w:t>
      </w:r>
      <w:r w:rsidRPr="00E07CFB">
        <w:rPr>
          <w:rStyle w:val="Hyperlink"/>
          <w:bCs/>
          <w:noProof/>
          <w:color w:val="auto"/>
          <w:u w:val="none"/>
        </w:rPr>
        <w:t xml:space="preserve"> </w:t>
      </w:r>
      <w:r w:rsidRPr="00EB28B5">
        <w:rPr>
          <w:noProof/>
        </w:rPr>
        <w:t xml:space="preserve">that for dynamic navigation markers, initial guidance should be given by IMO so that ITU can take appropriate measures regarding the assignment and use of identities. </w:t>
      </w:r>
    </w:p>
    <w:p w:rsidR="00634706" w:rsidRPr="00EB28B5" w:rsidRDefault="00634706" w:rsidP="00634706">
      <w:pPr>
        <w:pStyle w:val="Heading1"/>
        <w:rPr>
          <w:noProof/>
        </w:rPr>
      </w:pPr>
      <w:r w:rsidRPr="00EB28B5">
        <w:rPr>
          <w:noProof/>
        </w:rPr>
        <w:t>3</w:t>
      </w:r>
      <w:r w:rsidRPr="00EB28B5">
        <w:rPr>
          <w:noProof/>
        </w:rPr>
        <w:tab/>
        <w:t>Consideration on the revision of Recommendation ITU-R M.585-7</w:t>
      </w:r>
    </w:p>
    <w:p w:rsidR="00634706" w:rsidRPr="00EB28B5" w:rsidRDefault="00634706" w:rsidP="00634706">
      <w:pPr>
        <w:pStyle w:val="Heading2"/>
        <w:rPr>
          <w:noProof/>
          <w:lang w:eastAsia="zh-CN"/>
        </w:rPr>
      </w:pPr>
      <w:r w:rsidRPr="00EB28B5">
        <w:rPr>
          <w:noProof/>
          <w:lang w:eastAsia="zh-CN"/>
        </w:rPr>
        <w:t>3</w:t>
      </w:r>
      <w:r w:rsidRPr="00EB28B5">
        <w:rPr>
          <w:noProof/>
        </w:rPr>
        <w:t>.1</w:t>
      </w:r>
      <w:r w:rsidRPr="00EB28B5">
        <w:rPr>
          <w:noProof/>
        </w:rPr>
        <w:tab/>
      </w:r>
      <w:r w:rsidRPr="00EB28B5">
        <w:rPr>
          <w:noProof/>
          <w:lang w:eastAsia="zh-CN"/>
        </w:rPr>
        <w:t>Scope</w:t>
      </w:r>
    </w:p>
    <w:p w:rsidR="00634706" w:rsidRPr="00EB28B5" w:rsidRDefault="00634706" w:rsidP="00634706">
      <w:pPr>
        <w:rPr>
          <w:noProof/>
          <w:lang w:eastAsia="zh-CN"/>
        </w:rPr>
      </w:pPr>
      <w:r w:rsidRPr="00EB28B5">
        <w:rPr>
          <w:noProof/>
          <w:lang w:eastAsia="zh-CN"/>
        </w:rPr>
        <w:t xml:space="preserve">According to the interim outcome of study, AMRDs are divided into two groups, respectively named as Group A which </w:t>
      </w:r>
      <w:r w:rsidRPr="00EB28B5">
        <w:rPr>
          <w:noProof/>
        </w:rPr>
        <w:t>enhance</w:t>
      </w:r>
      <w:r w:rsidRPr="00EB28B5">
        <w:rPr>
          <w:noProof/>
          <w:lang w:eastAsia="zh-CN"/>
        </w:rPr>
        <w:t>s</w:t>
      </w:r>
      <w:r w:rsidRPr="00EB28B5">
        <w:rPr>
          <w:noProof/>
        </w:rPr>
        <w:t xml:space="preserve"> the safety of navigation,</w:t>
      </w:r>
      <w:r w:rsidRPr="00EB28B5">
        <w:rPr>
          <w:noProof/>
          <w:lang w:eastAsia="zh-CN"/>
        </w:rPr>
        <w:t xml:space="preserve"> and Group B which </w:t>
      </w:r>
      <w:r w:rsidRPr="00EB28B5">
        <w:rPr>
          <w:noProof/>
        </w:rPr>
        <w:t>do</w:t>
      </w:r>
      <w:r w:rsidRPr="00EB28B5">
        <w:rPr>
          <w:noProof/>
          <w:lang w:eastAsia="zh-CN"/>
        </w:rPr>
        <w:t>es</w:t>
      </w:r>
      <w:r w:rsidRPr="00EB28B5">
        <w:rPr>
          <w:noProof/>
        </w:rPr>
        <w:t xml:space="preserve"> not enhance the safety of navigation</w:t>
      </w:r>
      <w:r w:rsidRPr="00EB28B5">
        <w:rPr>
          <w:noProof/>
          <w:lang w:eastAsia="zh-CN"/>
        </w:rPr>
        <w:t xml:space="preserve">. Only the Group A would be allowed to use the frequency bands and identities in the maritime mobile service. Additional frequency bands and identification scheme needed to be developed for the Group B. It </w:t>
      </w:r>
      <w:r w:rsidRPr="00EB28B5">
        <w:rPr>
          <w:noProof/>
          <w:szCs w:val="24"/>
        </w:rPr>
        <w:t>might be possible and useful to create new and independent addressing and numbering systems, depending on the implemented technology</w:t>
      </w:r>
      <w:r w:rsidRPr="00EB28B5">
        <w:rPr>
          <w:noProof/>
          <w:szCs w:val="24"/>
          <w:lang w:eastAsia="zh-CN"/>
        </w:rPr>
        <w:t xml:space="preserve"> by the Group B</w:t>
      </w:r>
      <w:r w:rsidRPr="00EB28B5">
        <w:rPr>
          <w:noProof/>
          <w:szCs w:val="24"/>
        </w:rPr>
        <w:t>.</w:t>
      </w:r>
      <w:r w:rsidRPr="00EB28B5">
        <w:rPr>
          <w:noProof/>
          <w:szCs w:val="24"/>
          <w:lang w:eastAsia="zh-CN"/>
        </w:rPr>
        <w:t xml:space="preserve"> While, the numbering scheme of Group A should be in the scope of maritime mobile service and be described in the revised version of Recommendation ITU-R M.585.</w:t>
      </w:r>
    </w:p>
    <w:p w:rsidR="00634706" w:rsidRPr="00EB28B5" w:rsidRDefault="00634706" w:rsidP="00634706">
      <w:pPr>
        <w:rPr>
          <w:noProof/>
          <w:szCs w:val="24"/>
          <w:lang w:eastAsia="zh-CN"/>
        </w:rPr>
      </w:pPr>
      <w:r w:rsidRPr="00EB28B5">
        <w:rPr>
          <w:noProof/>
          <w:szCs w:val="24"/>
          <w:lang w:eastAsia="zh-CN"/>
        </w:rPr>
        <w:t>Preliminary studies on the numbering issue showed that the prefix of “90” in 9-digits format as the identification for AMRDs Group A in the maritime mobile service seems to be feasible. If a different form of identification system for the Group B is developed and transmitted by additional frequency bands, there would be no need to have any restriction to the prefix of numbering, such as “91”, for the Group B now.</w:t>
      </w:r>
    </w:p>
    <w:p w:rsidR="00634706" w:rsidRPr="00EB28B5" w:rsidRDefault="00634706" w:rsidP="00634706">
      <w:pPr>
        <w:pStyle w:val="Heading2"/>
        <w:rPr>
          <w:noProof/>
        </w:rPr>
      </w:pPr>
      <w:r w:rsidRPr="00EB28B5">
        <w:rPr>
          <w:noProof/>
        </w:rPr>
        <w:t>3.2</w:t>
      </w:r>
      <w:r w:rsidRPr="00EB28B5">
        <w:rPr>
          <w:noProof/>
        </w:rPr>
        <w:tab/>
        <w:t>Indication of category</w:t>
      </w:r>
    </w:p>
    <w:p w:rsidR="00634706" w:rsidRPr="00EB28B5" w:rsidRDefault="00634706" w:rsidP="00634706">
      <w:pPr>
        <w:rPr>
          <w:noProof/>
          <w:lang w:eastAsia="zh-CN"/>
        </w:rPr>
      </w:pPr>
      <w:r w:rsidRPr="00EB28B5">
        <w:rPr>
          <w:noProof/>
          <w:lang w:eastAsia="zh-CN"/>
        </w:rPr>
        <w:t xml:space="preserve">Both the preliminary numbering plan options contained 2-digits </w:t>
      </w:r>
      <w:r w:rsidRPr="00EB28B5">
        <w:rPr>
          <w:b/>
          <w:noProof/>
          <w:lang w:eastAsia="zh-CN"/>
        </w:rPr>
        <w:t>X</w:t>
      </w:r>
      <w:r w:rsidRPr="00EB28B5">
        <w:rPr>
          <w:b/>
          <w:noProof/>
          <w:vertAlign w:val="subscript"/>
          <w:lang w:eastAsia="zh-CN"/>
        </w:rPr>
        <w:t>3</w:t>
      </w:r>
      <w:r w:rsidRPr="00EB28B5">
        <w:rPr>
          <w:b/>
          <w:noProof/>
          <w:lang w:eastAsia="zh-CN"/>
        </w:rPr>
        <w:t>X</w:t>
      </w:r>
      <w:r w:rsidRPr="00EB28B5">
        <w:rPr>
          <w:b/>
          <w:noProof/>
          <w:vertAlign w:val="subscript"/>
          <w:lang w:eastAsia="zh-CN"/>
        </w:rPr>
        <w:t>4</w:t>
      </w:r>
      <w:r w:rsidRPr="00EB28B5">
        <w:rPr>
          <w:noProof/>
          <w:lang w:eastAsia="zh-CN"/>
        </w:rPr>
        <w:t>which were intended for indicating the category of AMRDs. By compiling and consolidating information from the PDNR.[AMRD], it was found that the existing AMRDs</w:t>
      </w:r>
      <w:r w:rsidRPr="00EB28B5" w:rsidDel="006C7DE6">
        <w:rPr>
          <w:noProof/>
          <w:lang w:eastAsia="zh-CN"/>
        </w:rPr>
        <w:t xml:space="preserve"> </w:t>
      </w:r>
      <w:r w:rsidRPr="00EB28B5">
        <w:rPr>
          <w:noProof/>
          <w:lang w:eastAsia="zh-CN"/>
        </w:rPr>
        <w:t xml:space="preserve">in the market </w:t>
      </w:r>
    </w:p>
    <w:p w:rsidR="00634706" w:rsidRPr="00EB28B5" w:rsidRDefault="00634706" w:rsidP="00634706">
      <w:pPr>
        <w:rPr>
          <w:noProof/>
          <w:lang w:eastAsia="zh-CN"/>
        </w:rPr>
      </w:pPr>
      <w:r w:rsidRPr="00EB28B5">
        <w:rPr>
          <w:noProof/>
          <w:lang w:eastAsia="zh-CN"/>
        </w:rPr>
        <w:t>including Group A and Group B could basically be classified as following categories:</w:t>
      </w:r>
    </w:p>
    <w:p w:rsidR="00634706" w:rsidRPr="00EB28B5" w:rsidRDefault="00921498" w:rsidP="00921498">
      <w:pPr>
        <w:pStyle w:val="enumlev1"/>
        <w:rPr>
          <w:noProof/>
          <w:lang w:eastAsia="zh-CN"/>
        </w:rPr>
      </w:pPr>
      <w:r>
        <w:rPr>
          <w:noProof/>
          <w:lang w:eastAsia="zh-CN"/>
        </w:rPr>
        <w:t>−</w:t>
      </w:r>
      <w:r w:rsidR="00634706" w:rsidRPr="00EB28B5">
        <w:rPr>
          <w:noProof/>
          <w:lang w:eastAsia="zh-CN"/>
        </w:rPr>
        <w:tab/>
        <w:t>MOB, Group A or Group B, depending on technologies used;</w:t>
      </w:r>
    </w:p>
    <w:p w:rsidR="00634706" w:rsidRPr="00EB28B5" w:rsidRDefault="00921498" w:rsidP="00921498">
      <w:pPr>
        <w:pStyle w:val="enumlev1"/>
        <w:rPr>
          <w:noProof/>
          <w:lang w:eastAsia="zh-CN"/>
        </w:rPr>
      </w:pPr>
      <w:r>
        <w:rPr>
          <w:noProof/>
          <w:lang w:eastAsia="zh-CN"/>
        </w:rPr>
        <w:t>−</w:t>
      </w:r>
      <w:r w:rsidR="00634706" w:rsidRPr="00EB28B5">
        <w:rPr>
          <w:noProof/>
          <w:lang w:eastAsia="zh-CN"/>
        </w:rPr>
        <w:tab/>
        <w:t>Diver routine, Group B;</w:t>
      </w:r>
    </w:p>
    <w:p w:rsidR="00634706" w:rsidRPr="00EB28B5" w:rsidRDefault="00921498" w:rsidP="00921498">
      <w:pPr>
        <w:pStyle w:val="enumlev1"/>
        <w:rPr>
          <w:noProof/>
          <w:lang w:eastAsia="zh-CN"/>
        </w:rPr>
      </w:pPr>
      <w:r>
        <w:rPr>
          <w:noProof/>
          <w:lang w:eastAsia="zh-CN"/>
        </w:rPr>
        <w:t>−</w:t>
      </w:r>
      <w:r w:rsidR="00634706" w:rsidRPr="00EB28B5">
        <w:rPr>
          <w:noProof/>
          <w:lang w:eastAsia="zh-CN"/>
        </w:rPr>
        <w:tab/>
        <w:t>Fishing equipment indicator for navigation hazard indication, TBD;</w:t>
      </w:r>
    </w:p>
    <w:p w:rsidR="00634706" w:rsidRPr="00EB28B5" w:rsidRDefault="00921498" w:rsidP="00921498">
      <w:pPr>
        <w:pStyle w:val="enumlev1"/>
        <w:rPr>
          <w:noProof/>
          <w:lang w:eastAsia="zh-CN"/>
        </w:rPr>
      </w:pPr>
      <w:r>
        <w:rPr>
          <w:noProof/>
          <w:lang w:eastAsia="zh-CN"/>
        </w:rPr>
        <w:t>−</w:t>
      </w:r>
      <w:r w:rsidR="00634706" w:rsidRPr="00EB28B5">
        <w:rPr>
          <w:noProof/>
          <w:lang w:eastAsia="zh-CN"/>
        </w:rPr>
        <w:tab/>
      </w:r>
      <w:r w:rsidR="00634706" w:rsidRPr="00EB28B5">
        <w:rPr>
          <w:noProof/>
        </w:rPr>
        <w:t>Fishing equipment indicator for recovery</w:t>
      </w:r>
      <w:r w:rsidR="00634706" w:rsidRPr="00EB28B5">
        <w:rPr>
          <w:noProof/>
          <w:lang w:eastAsia="zh-CN"/>
        </w:rPr>
        <w:t>, Group B;</w:t>
      </w:r>
    </w:p>
    <w:p w:rsidR="00634706" w:rsidRPr="00EB28B5" w:rsidRDefault="00921498" w:rsidP="00921498">
      <w:pPr>
        <w:pStyle w:val="enumlev1"/>
        <w:rPr>
          <w:noProof/>
          <w:lang w:eastAsia="zh-CN"/>
        </w:rPr>
      </w:pPr>
      <w:r>
        <w:rPr>
          <w:noProof/>
          <w:lang w:eastAsia="zh-CN"/>
        </w:rPr>
        <w:t>−</w:t>
      </w:r>
      <w:r w:rsidR="00634706" w:rsidRPr="00EB28B5">
        <w:rPr>
          <w:noProof/>
          <w:lang w:eastAsia="zh-CN"/>
        </w:rPr>
        <w:tab/>
        <w:t>Track objects which are not a hazard to navigation, Group B;</w:t>
      </w:r>
    </w:p>
    <w:p w:rsidR="00634706" w:rsidRPr="00EB28B5" w:rsidRDefault="00921498" w:rsidP="00921498">
      <w:pPr>
        <w:pStyle w:val="enumlev1"/>
        <w:rPr>
          <w:noProof/>
          <w:lang w:eastAsia="zh-CN"/>
        </w:rPr>
      </w:pPr>
      <w:r>
        <w:rPr>
          <w:noProof/>
          <w:lang w:eastAsia="zh-CN"/>
        </w:rPr>
        <w:t>−</w:t>
      </w:r>
      <w:r w:rsidR="00634706" w:rsidRPr="00EB28B5">
        <w:rPr>
          <w:noProof/>
          <w:lang w:eastAsia="zh-CN"/>
        </w:rPr>
        <w:tab/>
      </w:r>
      <w:r w:rsidR="00634706" w:rsidRPr="00EB28B5">
        <w:rPr>
          <w:noProof/>
        </w:rPr>
        <w:t>Mobile AtoN</w:t>
      </w:r>
      <w:r w:rsidR="00634706" w:rsidRPr="00EB28B5">
        <w:rPr>
          <w:noProof/>
          <w:lang w:eastAsia="zh-CN"/>
        </w:rPr>
        <w:t xml:space="preserve">, </w:t>
      </w:r>
      <w:r w:rsidR="00634706" w:rsidRPr="00EB28B5">
        <w:rPr>
          <w:noProof/>
        </w:rPr>
        <w:t>Group A</w:t>
      </w:r>
      <w:r w:rsidR="00634706" w:rsidRPr="00EB28B5">
        <w:rPr>
          <w:noProof/>
          <w:lang w:eastAsia="zh-CN"/>
        </w:rPr>
        <w:t>;</w:t>
      </w:r>
    </w:p>
    <w:p w:rsidR="00634706" w:rsidRPr="00EB28B5" w:rsidRDefault="00921498" w:rsidP="00921498">
      <w:pPr>
        <w:pStyle w:val="enumlev1"/>
        <w:rPr>
          <w:noProof/>
          <w:lang w:eastAsia="zh-CN"/>
        </w:rPr>
      </w:pPr>
      <w:r>
        <w:rPr>
          <w:noProof/>
          <w:lang w:eastAsia="zh-CN"/>
        </w:rPr>
        <w:t>−</w:t>
      </w:r>
      <w:r w:rsidR="00634706" w:rsidRPr="00EB28B5">
        <w:rPr>
          <w:noProof/>
          <w:lang w:eastAsia="zh-CN"/>
        </w:rPr>
        <w:tab/>
        <w:t>Oceanic meteorological buoys, TBD, depending on the assessment of IMO.</w:t>
      </w:r>
    </w:p>
    <w:p w:rsidR="00634706" w:rsidRPr="00EB28B5" w:rsidRDefault="00634706" w:rsidP="00634706">
      <w:pPr>
        <w:rPr>
          <w:noProof/>
          <w:lang w:eastAsia="zh-CN"/>
        </w:rPr>
      </w:pPr>
      <w:r w:rsidRPr="00EB28B5">
        <w:rPr>
          <w:noProof/>
          <w:lang w:eastAsia="zh-CN"/>
        </w:rPr>
        <w:t>Besides, there is a possible future application for an AMRD which may be termed d</w:t>
      </w:r>
      <w:r w:rsidRPr="00EB28B5">
        <w:rPr>
          <w:noProof/>
        </w:rPr>
        <w:t>ynamic navigation marker</w:t>
      </w:r>
      <w:r w:rsidRPr="00EB28B5">
        <w:rPr>
          <w:noProof/>
          <w:lang w:eastAsia="zh-CN"/>
        </w:rPr>
        <w:t>, but the category is still to be determined.</w:t>
      </w:r>
    </w:p>
    <w:p w:rsidR="00634706" w:rsidRPr="00EB28B5" w:rsidRDefault="00634706" w:rsidP="00634706">
      <w:pPr>
        <w:rPr>
          <w:noProof/>
          <w:lang w:eastAsia="zh-CN"/>
        </w:rPr>
      </w:pPr>
      <w:r w:rsidRPr="00EB28B5">
        <w:rPr>
          <w:noProof/>
          <w:lang w:eastAsia="zh-CN"/>
        </w:rPr>
        <w:t>It seems that 1-digit for the category indication of AMRDs is enough, especially considering that only the numbering for Group A is included in the maritime mobile service identities.</w:t>
      </w:r>
    </w:p>
    <w:p w:rsidR="00634706" w:rsidRPr="00EB28B5" w:rsidRDefault="00634706" w:rsidP="00634706">
      <w:pPr>
        <w:pStyle w:val="Heading2"/>
        <w:rPr>
          <w:noProof/>
          <w:lang w:eastAsia="zh-CN"/>
        </w:rPr>
      </w:pPr>
      <w:r w:rsidRPr="00EB28B5">
        <w:rPr>
          <w:noProof/>
        </w:rPr>
        <w:t>3.3</w:t>
      </w:r>
      <w:r w:rsidRPr="00EB28B5">
        <w:rPr>
          <w:noProof/>
        </w:rPr>
        <w:tab/>
      </w:r>
      <w:r w:rsidRPr="00EB28B5">
        <w:rPr>
          <w:noProof/>
          <w:lang w:eastAsia="zh-CN"/>
        </w:rPr>
        <w:t>Indication</w:t>
      </w:r>
      <w:r w:rsidRPr="00EB28B5">
        <w:rPr>
          <w:noProof/>
        </w:rPr>
        <w:t xml:space="preserve"> of </w:t>
      </w:r>
      <w:r w:rsidRPr="00EB28B5">
        <w:rPr>
          <w:noProof/>
          <w:lang w:eastAsia="zh-CN"/>
        </w:rPr>
        <w:t>manufacturers</w:t>
      </w:r>
    </w:p>
    <w:p w:rsidR="00634706" w:rsidRPr="00EB28B5" w:rsidRDefault="00634706" w:rsidP="00634706">
      <w:pPr>
        <w:rPr>
          <w:noProof/>
          <w:lang w:eastAsia="zh-CN"/>
        </w:rPr>
      </w:pPr>
      <w:r w:rsidRPr="00EB28B5">
        <w:rPr>
          <w:noProof/>
          <w:lang w:eastAsia="zh-CN"/>
        </w:rPr>
        <w:t xml:space="preserve">The main purpose of the numbering scheme for the AMRDs is for the  identification of the special objects by ships, maritime administration staffs and SAR participants, and the need to reduce the working burden of national maritime mobile service authorities. Discussions with experts from different fields including administrative organizations, shipping companies, institutions and manufacturers, led to the conclusion that it is preferable to include digits to indicate the manufacturer of a device. </w:t>
      </w:r>
    </w:p>
    <w:p w:rsidR="00634706" w:rsidRPr="00EB28B5" w:rsidRDefault="00634706" w:rsidP="00E07CFB">
      <w:pPr>
        <w:pStyle w:val="Heading2"/>
        <w:rPr>
          <w:noProof/>
          <w:lang w:eastAsia="zh-CN"/>
        </w:rPr>
      </w:pPr>
      <w:r w:rsidRPr="00EB28B5">
        <w:rPr>
          <w:noProof/>
        </w:rPr>
        <w:t>3.4</w:t>
      </w:r>
      <w:r w:rsidRPr="00EB28B5">
        <w:rPr>
          <w:noProof/>
        </w:rPr>
        <w:tab/>
      </w:r>
      <w:r w:rsidRPr="00EB28B5">
        <w:rPr>
          <w:noProof/>
          <w:lang w:eastAsia="zh-CN"/>
        </w:rPr>
        <w:t>Consideration on additional plan option for Group A AMRDs</w:t>
      </w:r>
    </w:p>
    <w:p w:rsidR="00634706" w:rsidRPr="00EB28B5" w:rsidRDefault="00634706" w:rsidP="00634706">
      <w:pPr>
        <w:rPr>
          <w:noProof/>
          <w:lang w:eastAsia="zh-CN"/>
        </w:rPr>
      </w:pPr>
      <w:r w:rsidRPr="00EB28B5">
        <w:rPr>
          <w:noProof/>
          <w:lang w:eastAsia="zh-CN"/>
        </w:rPr>
        <w:t>An additional numbering plan for Group A  AMRDs in the maritime mobile service identity is proposed as follows:</w:t>
      </w:r>
    </w:p>
    <w:p w:rsidR="00634706" w:rsidRPr="00EB28B5" w:rsidRDefault="00634706" w:rsidP="00634706">
      <w:pPr>
        <w:rPr>
          <w:b/>
          <w:noProof/>
          <w:sz w:val="28"/>
          <w:vertAlign w:val="subscript"/>
          <w:lang w:eastAsia="zh-CN"/>
        </w:rPr>
      </w:pPr>
      <w:r w:rsidRPr="00EB28B5">
        <w:rPr>
          <w:noProof/>
          <w:lang w:eastAsia="zh-CN"/>
        </w:rPr>
        <w:tab/>
        <w:t>[</w:t>
      </w:r>
      <w:r w:rsidRPr="00EB28B5">
        <w:rPr>
          <w:b/>
          <w:noProof/>
          <w:sz w:val="28"/>
          <w:lang w:eastAsia="zh-CN"/>
        </w:rPr>
        <w:t>9</w:t>
      </w:r>
      <w:r w:rsidRPr="00EB28B5">
        <w:rPr>
          <w:b/>
          <w:noProof/>
          <w:sz w:val="28"/>
          <w:vertAlign w:val="subscript"/>
          <w:lang w:eastAsia="zh-CN"/>
        </w:rPr>
        <w:t>1</w:t>
      </w:r>
      <w:r w:rsidRPr="00EB28B5">
        <w:rPr>
          <w:b/>
          <w:noProof/>
          <w:sz w:val="28"/>
          <w:lang w:eastAsia="zh-CN"/>
        </w:rPr>
        <w:t>0</w:t>
      </w:r>
      <w:r w:rsidRPr="00EB28B5">
        <w:rPr>
          <w:b/>
          <w:noProof/>
          <w:sz w:val="28"/>
          <w:vertAlign w:val="subscript"/>
          <w:lang w:eastAsia="zh-CN"/>
        </w:rPr>
        <w:t>2</w:t>
      </w:r>
      <w:r w:rsidRPr="00EB28B5">
        <w:rPr>
          <w:b/>
          <w:noProof/>
          <w:sz w:val="28"/>
          <w:lang w:eastAsia="zh-CN"/>
        </w:rPr>
        <w:t>X</w:t>
      </w:r>
      <w:r w:rsidRPr="00EB28B5">
        <w:rPr>
          <w:b/>
          <w:noProof/>
          <w:sz w:val="28"/>
          <w:vertAlign w:val="subscript"/>
          <w:lang w:eastAsia="zh-CN"/>
        </w:rPr>
        <w:t>3</w:t>
      </w:r>
      <w:r w:rsidRPr="00EB28B5">
        <w:rPr>
          <w:b/>
          <w:noProof/>
          <w:sz w:val="28"/>
          <w:lang w:eastAsia="zh-CN"/>
        </w:rPr>
        <w:t>Y</w:t>
      </w:r>
      <w:r w:rsidRPr="00EB28B5">
        <w:rPr>
          <w:b/>
          <w:noProof/>
          <w:sz w:val="28"/>
          <w:vertAlign w:val="subscript"/>
          <w:lang w:eastAsia="zh-CN"/>
        </w:rPr>
        <w:t>4</w:t>
      </w:r>
      <w:r w:rsidRPr="00EB28B5">
        <w:rPr>
          <w:b/>
          <w:noProof/>
          <w:sz w:val="28"/>
          <w:lang w:eastAsia="zh-CN"/>
        </w:rPr>
        <w:t>Y</w:t>
      </w:r>
      <w:r w:rsidRPr="00EB28B5">
        <w:rPr>
          <w:b/>
          <w:noProof/>
          <w:sz w:val="28"/>
          <w:vertAlign w:val="subscript"/>
          <w:lang w:eastAsia="zh-CN"/>
        </w:rPr>
        <w:t>5</w:t>
      </w:r>
      <w:r w:rsidRPr="00EB28B5">
        <w:rPr>
          <w:b/>
          <w:noProof/>
          <w:sz w:val="28"/>
          <w:lang w:eastAsia="zh-CN"/>
        </w:rPr>
        <w:t>Z</w:t>
      </w:r>
      <w:r w:rsidRPr="00EB28B5">
        <w:rPr>
          <w:b/>
          <w:noProof/>
          <w:sz w:val="28"/>
          <w:vertAlign w:val="subscript"/>
          <w:lang w:eastAsia="zh-CN"/>
        </w:rPr>
        <w:t>6</w:t>
      </w:r>
      <w:r w:rsidRPr="00EB28B5">
        <w:rPr>
          <w:b/>
          <w:noProof/>
          <w:sz w:val="28"/>
          <w:lang w:eastAsia="zh-CN"/>
        </w:rPr>
        <w:t>Z</w:t>
      </w:r>
      <w:r w:rsidRPr="00EB28B5">
        <w:rPr>
          <w:b/>
          <w:noProof/>
          <w:sz w:val="28"/>
          <w:vertAlign w:val="subscript"/>
          <w:lang w:eastAsia="zh-CN"/>
        </w:rPr>
        <w:t>7</w:t>
      </w:r>
      <w:r w:rsidRPr="00EB28B5">
        <w:rPr>
          <w:b/>
          <w:noProof/>
          <w:sz w:val="28"/>
          <w:lang w:eastAsia="zh-CN"/>
        </w:rPr>
        <w:t>Z</w:t>
      </w:r>
      <w:r w:rsidRPr="00EB28B5">
        <w:rPr>
          <w:b/>
          <w:noProof/>
          <w:sz w:val="28"/>
          <w:vertAlign w:val="subscript"/>
          <w:lang w:eastAsia="zh-CN"/>
        </w:rPr>
        <w:t>8</w:t>
      </w:r>
      <w:r w:rsidRPr="00EB28B5">
        <w:rPr>
          <w:b/>
          <w:noProof/>
          <w:sz w:val="28"/>
          <w:lang w:eastAsia="zh-CN"/>
        </w:rPr>
        <w:t>Z</w:t>
      </w:r>
      <w:r w:rsidRPr="00EB28B5">
        <w:rPr>
          <w:b/>
          <w:noProof/>
          <w:sz w:val="28"/>
          <w:vertAlign w:val="subscript"/>
          <w:lang w:eastAsia="zh-CN"/>
        </w:rPr>
        <w:t>9</w:t>
      </w:r>
    </w:p>
    <w:p w:rsidR="00634706" w:rsidRPr="00EB28B5" w:rsidRDefault="00634706" w:rsidP="00634706">
      <w:pPr>
        <w:tabs>
          <w:tab w:val="clear" w:pos="2268"/>
          <w:tab w:val="left" w:pos="2145"/>
        </w:tabs>
        <w:rPr>
          <w:noProof/>
          <w:lang w:eastAsia="zh-CN"/>
        </w:rPr>
      </w:pPr>
      <w:r w:rsidRPr="00EB28B5">
        <w:rPr>
          <w:noProof/>
          <w:lang w:eastAsia="zh-CN"/>
        </w:rPr>
        <w:tab/>
      </w:r>
      <w:r w:rsidRPr="00EB28B5">
        <w:rPr>
          <w:b/>
          <w:noProof/>
          <w:sz w:val="28"/>
          <w:lang w:eastAsia="zh-CN"/>
        </w:rPr>
        <w:t>9</w:t>
      </w:r>
      <w:r w:rsidRPr="00EB28B5">
        <w:rPr>
          <w:b/>
          <w:noProof/>
          <w:sz w:val="28"/>
          <w:vertAlign w:val="subscript"/>
          <w:lang w:eastAsia="zh-CN"/>
        </w:rPr>
        <w:t>1</w:t>
      </w:r>
      <w:r w:rsidRPr="00EB28B5">
        <w:rPr>
          <w:b/>
          <w:noProof/>
          <w:sz w:val="28"/>
          <w:lang w:eastAsia="zh-CN"/>
        </w:rPr>
        <w:t>0</w:t>
      </w:r>
      <w:r w:rsidRPr="00EB28B5">
        <w:rPr>
          <w:b/>
          <w:noProof/>
          <w:sz w:val="28"/>
          <w:vertAlign w:val="subscript"/>
          <w:lang w:eastAsia="zh-CN"/>
        </w:rPr>
        <w:t>2</w:t>
      </w:r>
      <w:r w:rsidRPr="00EB28B5">
        <w:rPr>
          <w:b/>
          <w:noProof/>
          <w:sz w:val="28"/>
          <w:vertAlign w:val="subscript"/>
          <w:lang w:eastAsia="zh-CN"/>
        </w:rPr>
        <w:tab/>
      </w:r>
      <w:r w:rsidRPr="00EB28B5">
        <w:rPr>
          <w:b/>
          <w:noProof/>
          <w:sz w:val="28"/>
          <w:vertAlign w:val="subscript"/>
          <w:lang w:eastAsia="zh-CN"/>
        </w:rPr>
        <w:tab/>
      </w:r>
      <w:r w:rsidRPr="00EB28B5">
        <w:rPr>
          <w:noProof/>
          <w:lang w:eastAsia="zh-CN"/>
        </w:rPr>
        <w:t>- prefix of the number;</w:t>
      </w:r>
    </w:p>
    <w:p w:rsidR="00634706" w:rsidRPr="00EB28B5" w:rsidRDefault="00634706" w:rsidP="00634706">
      <w:pPr>
        <w:tabs>
          <w:tab w:val="clear" w:pos="1134"/>
          <w:tab w:val="clear" w:pos="1871"/>
          <w:tab w:val="clear" w:pos="2268"/>
        </w:tabs>
        <w:overflowPunct/>
        <w:autoSpaceDE/>
        <w:autoSpaceDN/>
        <w:adjustRightInd/>
        <w:spacing w:before="0"/>
        <w:ind w:leftChars="484" w:left="2123" w:hangingChars="342" w:hanging="961"/>
        <w:textAlignment w:val="auto"/>
        <w:rPr>
          <w:noProof/>
          <w:lang w:eastAsia="zh-CN"/>
        </w:rPr>
      </w:pPr>
      <w:r w:rsidRPr="00EB28B5">
        <w:rPr>
          <w:b/>
          <w:noProof/>
          <w:sz w:val="28"/>
          <w:lang w:eastAsia="zh-CN"/>
        </w:rPr>
        <w:t>X</w:t>
      </w:r>
      <w:r w:rsidRPr="00EB28B5">
        <w:rPr>
          <w:b/>
          <w:noProof/>
          <w:sz w:val="28"/>
          <w:vertAlign w:val="subscript"/>
          <w:lang w:eastAsia="zh-CN"/>
        </w:rPr>
        <w:t>3</w:t>
      </w:r>
      <w:r w:rsidRPr="00EB28B5">
        <w:rPr>
          <w:noProof/>
          <w:lang w:eastAsia="zh-CN"/>
        </w:rPr>
        <w:t>- indication of certain category of AMRDs. The value could be proposed as listed below:</w:t>
      </w:r>
    </w:p>
    <w:p w:rsidR="00634706" w:rsidRPr="00EB28B5" w:rsidRDefault="00634706" w:rsidP="00634706">
      <w:pPr>
        <w:tabs>
          <w:tab w:val="clear" w:pos="1134"/>
          <w:tab w:val="clear" w:pos="1871"/>
          <w:tab w:val="clear" w:pos="2268"/>
        </w:tabs>
        <w:overflowPunct/>
        <w:autoSpaceDE/>
        <w:autoSpaceDN/>
        <w:adjustRightInd/>
        <w:spacing w:before="0"/>
        <w:ind w:leftChars="826" w:left="1982" w:firstLineChars="60" w:firstLine="144"/>
        <w:textAlignment w:val="auto"/>
        <w:rPr>
          <w:noProof/>
          <w:lang w:eastAsia="zh-CN"/>
        </w:rPr>
      </w:pPr>
      <w:r w:rsidRPr="00EB28B5">
        <w:rPr>
          <w:noProof/>
          <w:lang w:eastAsia="zh-CN"/>
        </w:rPr>
        <w:t>1: Fishing equipment indicator for navigation hazard indication;</w:t>
      </w:r>
    </w:p>
    <w:p w:rsidR="00634706" w:rsidRPr="00EB28B5" w:rsidRDefault="00634706" w:rsidP="00634706">
      <w:pPr>
        <w:tabs>
          <w:tab w:val="clear" w:pos="1134"/>
          <w:tab w:val="clear" w:pos="1871"/>
          <w:tab w:val="clear" w:pos="2268"/>
        </w:tabs>
        <w:overflowPunct/>
        <w:autoSpaceDE/>
        <w:autoSpaceDN/>
        <w:adjustRightInd/>
        <w:spacing w:before="0"/>
        <w:ind w:leftChars="826" w:left="1982" w:firstLineChars="60" w:firstLine="144"/>
        <w:textAlignment w:val="auto"/>
        <w:rPr>
          <w:noProof/>
          <w:lang w:eastAsia="zh-CN"/>
        </w:rPr>
      </w:pPr>
      <w:r w:rsidRPr="00EB28B5">
        <w:rPr>
          <w:noProof/>
          <w:lang w:eastAsia="zh-CN"/>
        </w:rPr>
        <w:t xml:space="preserve">[2: </w:t>
      </w:r>
      <w:r w:rsidRPr="00EB28B5">
        <w:rPr>
          <w:noProof/>
        </w:rPr>
        <w:t>Mobile AtoN indicating a hazard</w:t>
      </w:r>
      <w:r w:rsidRPr="00EB28B5">
        <w:rPr>
          <w:noProof/>
          <w:lang w:eastAsia="zh-CN"/>
        </w:rPr>
        <w:t>;]</w:t>
      </w:r>
    </w:p>
    <w:p w:rsidR="00634706" w:rsidRPr="00EB28B5" w:rsidRDefault="00634706" w:rsidP="00634706">
      <w:pPr>
        <w:tabs>
          <w:tab w:val="clear" w:pos="1134"/>
          <w:tab w:val="clear" w:pos="1871"/>
          <w:tab w:val="clear" w:pos="2268"/>
        </w:tabs>
        <w:overflowPunct/>
        <w:autoSpaceDE/>
        <w:autoSpaceDN/>
        <w:adjustRightInd/>
        <w:spacing w:before="0"/>
        <w:ind w:leftChars="826" w:left="1982" w:firstLineChars="60" w:firstLine="144"/>
        <w:textAlignment w:val="auto"/>
        <w:rPr>
          <w:noProof/>
          <w:lang w:eastAsia="zh-CN"/>
        </w:rPr>
      </w:pPr>
      <w:r w:rsidRPr="00EB28B5">
        <w:rPr>
          <w:noProof/>
          <w:lang w:eastAsia="zh-CN"/>
        </w:rPr>
        <w:t>[3: Oceanic meteorological buoys;]</w:t>
      </w:r>
    </w:p>
    <w:p w:rsidR="00634706" w:rsidRPr="00EB28B5" w:rsidRDefault="00634706" w:rsidP="00634706">
      <w:pPr>
        <w:tabs>
          <w:tab w:val="clear" w:pos="1134"/>
          <w:tab w:val="clear" w:pos="1871"/>
          <w:tab w:val="clear" w:pos="2268"/>
        </w:tabs>
        <w:overflowPunct/>
        <w:autoSpaceDE/>
        <w:autoSpaceDN/>
        <w:adjustRightInd/>
        <w:spacing w:before="0"/>
        <w:ind w:leftChars="826" w:left="1982" w:firstLineChars="60" w:firstLine="144"/>
        <w:textAlignment w:val="auto"/>
        <w:rPr>
          <w:noProof/>
          <w:lang w:eastAsia="zh-CN"/>
        </w:rPr>
      </w:pPr>
      <w:r w:rsidRPr="00EB28B5">
        <w:rPr>
          <w:noProof/>
          <w:lang w:eastAsia="zh-CN"/>
        </w:rPr>
        <w:t xml:space="preserve">4: reserved for </w:t>
      </w:r>
      <w:r w:rsidRPr="00EB28B5">
        <w:rPr>
          <w:noProof/>
        </w:rPr>
        <w:t>Dynamic navigation markers</w:t>
      </w:r>
      <w:r w:rsidRPr="00EB28B5">
        <w:rPr>
          <w:noProof/>
          <w:lang w:eastAsia="zh-CN"/>
        </w:rPr>
        <w:t>;</w:t>
      </w:r>
    </w:p>
    <w:p w:rsidR="00634706" w:rsidRPr="00EB28B5" w:rsidRDefault="00634706" w:rsidP="00634706">
      <w:pPr>
        <w:tabs>
          <w:tab w:val="clear" w:pos="1134"/>
          <w:tab w:val="clear" w:pos="1871"/>
          <w:tab w:val="clear" w:pos="2268"/>
        </w:tabs>
        <w:overflowPunct/>
        <w:autoSpaceDE/>
        <w:autoSpaceDN/>
        <w:adjustRightInd/>
        <w:spacing w:before="0"/>
        <w:ind w:leftChars="826" w:left="1982" w:firstLineChars="60" w:firstLine="144"/>
        <w:textAlignment w:val="auto"/>
        <w:rPr>
          <w:noProof/>
          <w:lang w:eastAsia="zh-CN"/>
        </w:rPr>
      </w:pPr>
      <w:r w:rsidRPr="00EB28B5">
        <w:rPr>
          <w:noProof/>
          <w:lang w:eastAsia="zh-CN"/>
        </w:rPr>
        <w:t>5~9 and 0: reserved for other future AMRDs.</w:t>
      </w:r>
    </w:p>
    <w:p w:rsidR="00634706" w:rsidRPr="00EB28B5" w:rsidRDefault="00634706" w:rsidP="00634706">
      <w:pPr>
        <w:tabs>
          <w:tab w:val="clear" w:pos="1134"/>
          <w:tab w:val="clear" w:pos="1871"/>
          <w:tab w:val="clear" w:pos="2268"/>
        </w:tabs>
        <w:overflowPunct/>
        <w:autoSpaceDE/>
        <w:autoSpaceDN/>
        <w:adjustRightInd/>
        <w:spacing w:before="0"/>
        <w:ind w:leftChars="826" w:left="1982" w:firstLineChars="60" w:firstLine="144"/>
        <w:textAlignment w:val="auto"/>
        <w:rPr>
          <w:noProof/>
          <w:lang w:eastAsia="zh-CN"/>
        </w:rPr>
      </w:pPr>
      <w:r w:rsidRPr="00EB28B5">
        <w:rPr>
          <w:noProof/>
          <w:lang w:eastAsia="zh-CN"/>
        </w:rPr>
        <w:t>[Note: the MOB has been assigned the identity in format of 972XXXXXX.]</w:t>
      </w:r>
    </w:p>
    <w:p w:rsidR="00634706" w:rsidRPr="00EB28B5" w:rsidRDefault="00634706" w:rsidP="00634706">
      <w:pPr>
        <w:tabs>
          <w:tab w:val="clear" w:pos="1134"/>
          <w:tab w:val="clear" w:pos="1871"/>
          <w:tab w:val="clear" w:pos="2268"/>
        </w:tabs>
        <w:overflowPunct/>
        <w:autoSpaceDE/>
        <w:autoSpaceDN/>
        <w:adjustRightInd/>
        <w:spacing w:before="0"/>
        <w:ind w:leftChars="473" w:left="1981" w:hangingChars="301" w:hanging="846"/>
        <w:textAlignment w:val="auto"/>
        <w:rPr>
          <w:noProof/>
          <w:lang w:eastAsia="zh-CN"/>
        </w:rPr>
      </w:pPr>
      <w:r w:rsidRPr="00EB28B5">
        <w:rPr>
          <w:b/>
          <w:noProof/>
          <w:sz w:val="28"/>
          <w:lang w:eastAsia="zh-CN"/>
        </w:rPr>
        <w:t>Y</w:t>
      </w:r>
      <w:r w:rsidRPr="00EB28B5">
        <w:rPr>
          <w:b/>
          <w:noProof/>
          <w:sz w:val="28"/>
          <w:vertAlign w:val="subscript"/>
          <w:lang w:eastAsia="zh-CN"/>
        </w:rPr>
        <w:t>4</w:t>
      </w:r>
      <w:r w:rsidRPr="00EB28B5">
        <w:rPr>
          <w:b/>
          <w:noProof/>
          <w:sz w:val="28"/>
          <w:lang w:eastAsia="zh-CN"/>
        </w:rPr>
        <w:t>Y</w:t>
      </w:r>
      <w:r w:rsidRPr="00EB28B5">
        <w:rPr>
          <w:b/>
          <w:noProof/>
          <w:sz w:val="28"/>
          <w:vertAlign w:val="subscript"/>
          <w:lang w:eastAsia="zh-CN"/>
        </w:rPr>
        <w:t>5</w:t>
      </w:r>
      <w:r w:rsidRPr="00EB28B5">
        <w:rPr>
          <w:b/>
          <w:noProof/>
          <w:sz w:val="28"/>
          <w:vertAlign w:val="subscript"/>
          <w:lang w:eastAsia="zh-CN"/>
        </w:rPr>
        <w:tab/>
      </w:r>
      <w:r w:rsidRPr="00EB28B5">
        <w:rPr>
          <w:noProof/>
          <w:lang w:eastAsia="zh-CN"/>
        </w:rPr>
        <w:t>-identities of the manufacturers, assigned by CIRM;</w:t>
      </w:r>
    </w:p>
    <w:p w:rsidR="00634706" w:rsidRPr="00EB28B5" w:rsidRDefault="00634706" w:rsidP="00634706">
      <w:pPr>
        <w:tabs>
          <w:tab w:val="clear" w:pos="1134"/>
          <w:tab w:val="clear" w:pos="1871"/>
          <w:tab w:val="clear" w:pos="2268"/>
        </w:tabs>
        <w:overflowPunct/>
        <w:autoSpaceDE/>
        <w:autoSpaceDN/>
        <w:adjustRightInd/>
        <w:spacing w:before="0"/>
        <w:ind w:leftChars="473" w:left="1981" w:hangingChars="301" w:hanging="846"/>
        <w:textAlignment w:val="auto"/>
        <w:rPr>
          <w:noProof/>
          <w:lang w:eastAsia="zh-CN"/>
        </w:rPr>
      </w:pPr>
      <w:r w:rsidRPr="00EB28B5">
        <w:rPr>
          <w:b/>
          <w:noProof/>
          <w:sz w:val="28"/>
          <w:lang w:eastAsia="zh-CN"/>
        </w:rPr>
        <w:t>Z</w:t>
      </w:r>
      <w:r w:rsidRPr="00EB28B5">
        <w:rPr>
          <w:b/>
          <w:noProof/>
          <w:sz w:val="28"/>
          <w:vertAlign w:val="subscript"/>
          <w:lang w:eastAsia="zh-CN"/>
        </w:rPr>
        <w:t>6</w:t>
      </w:r>
      <w:r w:rsidRPr="00EB28B5">
        <w:rPr>
          <w:b/>
          <w:noProof/>
          <w:sz w:val="28"/>
          <w:lang w:eastAsia="zh-CN"/>
        </w:rPr>
        <w:t>Z</w:t>
      </w:r>
      <w:r w:rsidRPr="00EB28B5">
        <w:rPr>
          <w:b/>
          <w:noProof/>
          <w:sz w:val="28"/>
          <w:vertAlign w:val="subscript"/>
          <w:lang w:eastAsia="zh-CN"/>
        </w:rPr>
        <w:t>7</w:t>
      </w:r>
      <w:r w:rsidRPr="00EB28B5">
        <w:rPr>
          <w:b/>
          <w:noProof/>
          <w:sz w:val="28"/>
          <w:lang w:eastAsia="zh-CN"/>
        </w:rPr>
        <w:t>Z</w:t>
      </w:r>
      <w:r w:rsidRPr="00EB28B5">
        <w:rPr>
          <w:b/>
          <w:noProof/>
          <w:sz w:val="28"/>
          <w:vertAlign w:val="subscript"/>
          <w:lang w:eastAsia="zh-CN"/>
        </w:rPr>
        <w:t>8</w:t>
      </w:r>
      <w:r w:rsidRPr="00EB28B5">
        <w:rPr>
          <w:b/>
          <w:noProof/>
          <w:sz w:val="28"/>
          <w:lang w:eastAsia="zh-CN"/>
        </w:rPr>
        <w:t>Z</w:t>
      </w:r>
      <w:r w:rsidRPr="00EB28B5">
        <w:rPr>
          <w:b/>
          <w:noProof/>
          <w:sz w:val="28"/>
          <w:vertAlign w:val="subscript"/>
          <w:lang w:eastAsia="zh-CN"/>
        </w:rPr>
        <w:t xml:space="preserve">9 </w:t>
      </w:r>
      <w:r w:rsidRPr="00EB28B5">
        <w:rPr>
          <w:noProof/>
          <w:lang w:eastAsia="zh-CN"/>
        </w:rPr>
        <w:t>-the series number. The largest number for each reserved individual group indicators is 10, 000.]</w:t>
      </w:r>
    </w:p>
    <w:p w:rsidR="00634706" w:rsidRPr="00EB28B5" w:rsidRDefault="00634706" w:rsidP="00634706">
      <w:pPr>
        <w:pStyle w:val="Heading1"/>
        <w:rPr>
          <w:noProof/>
        </w:rPr>
      </w:pPr>
      <w:r w:rsidRPr="00EB28B5">
        <w:rPr>
          <w:noProof/>
          <w:lang w:eastAsia="zh-CN"/>
        </w:rPr>
        <w:t>4</w:t>
      </w:r>
      <w:r w:rsidRPr="00EB28B5">
        <w:rPr>
          <w:noProof/>
          <w:lang w:eastAsia="zh-CN"/>
        </w:rPr>
        <w:tab/>
      </w:r>
      <w:r w:rsidRPr="00EB28B5">
        <w:rPr>
          <w:noProof/>
        </w:rPr>
        <w:t>Conclusion</w:t>
      </w:r>
    </w:p>
    <w:p w:rsidR="00AF296B" w:rsidRPr="00EB28B5" w:rsidRDefault="00634706" w:rsidP="00921498">
      <w:pPr>
        <w:rPr>
          <w:noProof/>
          <w:lang w:eastAsia="zh-CN"/>
        </w:rPr>
      </w:pPr>
      <w:r w:rsidRPr="00EB28B5">
        <w:rPr>
          <w:noProof/>
          <w:lang w:eastAsia="zh-CN"/>
        </w:rPr>
        <w:t>[TBD]</w:t>
      </w:r>
    </w:p>
    <w:sectPr w:rsidR="00AF296B" w:rsidRPr="00EB28B5" w:rsidSect="00D02712">
      <w:headerReference w:type="default" r:id="rId13"/>
      <w:footerReference w:type="default" r:id="rId14"/>
      <w:footerReference w:type="first" r:id="rId15"/>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Chair" w:date="2016-12-15T22:24:00Z" w:initials="Chair">
    <w:p w:rsidR="00634706" w:rsidRDefault="00634706" w:rsidP="00634706">
      <w:pPr>
        <w:pStyle w:val="CommentText"/>
      </w:pPr>
      <w:r>
        <w:rPr>
          <w:rStyle w:val="CommentReference"/>
        </w:rPr>
        <w:annotationRef/>
      </w:r>
      <w:r>
        <w:rPr>
          <w:noProof/>
        </w:rPr>
        <w:t>needs to be removed in final document</w:t>
      </w:r>
    </w:p>
  </w:comment>
</w:comments>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40DAE2" w16cid:durableId="1DCBF6A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661" w:rsidRDefault="00F35661">
      <w:r>
        <w:separator/>
      </w:r>
    </w:p>
  </w:endnote>
  <w:endnote w:type="continuationSeparator" w:id="0">
    <w:p w:rsidR="00F35661" w:rsidRDefault="00F35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2F7CB3" w:rsidRDefault="00F35661">
    <w:pPr>
      <w:pStyle w:val="Footer"/>
      <w:rPr>
        <w:lang w:val="en-US"/>
      </w:rPr>
    </w:pPr>
    <w:r>
      <w:fldChar w:fldCharType="begin"/>
    </w:r>
    <w:r>
      <w:instrText xml:space="preserve"> FILENAME \p \* MERGEFORMAT </w:instrText>
    </w:r>
    <w:r>
      <w:fldChar w:fldCharType="separate"/>
    </w:r>
    <w:r w:rsidR="00921498" w:rsidRPr="00921498">
      <w:rPr>
        <w:lang w:val="en-US"/>
      </w:rPr>
      <w:t>M</w:t>
    </w:r>
    <w:r w:rsidR="00921498">
      <w:t>:\BRSGD\TEXT2017\SG05\WP5B\400\411\411N23e.docx</w:t>
    </w:r>
    <w:r>
      <w:fldChar w:fldCharType="end"/>
    </w:r>
    <w:r w:rsidR="00FA124A">
      <w:t xml:space="preserve"> </w:t>
    </w:r>
    <w:r w:rsidR="00FA124A" w:rsidRPr="002F7CB3">
      <w:rPr>
        <w:lang w:val="en-US"/>
      </w:rPr>
      <w:tab/>
    </w:r>
    <w:r w:rsidR="00D02712">
      <w:fldChar w:fldCharType="begin"/>
    </w:r>
    <w:r w:rsidR="00FA124A">
      <w:instrText xml:space="preserve"> savedate \@ dd.MM.yy </w:instrText>
    </w:r>
    <w:r w:rsidR="00D02712">
      <w:fldChar w:fldCharType="separate"/>
    </w:r>
    <w:r w:rsidR="00134281">
      <w:t>11.12.17</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921498">
      <w:t>04.12.17</w:t>
    </w:r>
    <w:r w:rsidR="00D0271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2F7CB3" w:rsidRDefault="00F35661" w:rsidP="00E6257C">
    <w:pPr>
      <w:pStyle w:val="Footer"/>
      <w:rPr>
        <w:lang w:val="en-US"/>
      </w:rPr>
    </w:pPr>
    <w:r>
      <w:fldChar w:fldCharType="begin"/>
    </w:r>
    <w:r>
      <w:instrText xml:space="preserve"> FILENAME \p \* MERGEFORMAT </w:instrText>
    </w:r>
    <w:r>
      <w:fldChar w:fldCharType="separate"/>
    </w:r>
    <w:r w:rsidR="00921498" w:rsidRPr="00921498">
      <w:rPr>
        <w:lang w:val="en-US"/>
      </w:rPr>
      <w:t>M</w:t>
    </w:r>
    <w:r w:rsidR="00921498">
      <w:t>:\BRSGD\TEXT2017\SG05\WP5B\400\411\411N23e.docx</w:t>
    </w:r>
    <w:r>
      <w:fldChar w:fldCharType="end"/>
    </w:r>
    <w:r w:rsidR="00634706">
      <w:t xml:space="preserve"> </w:t>
    </w:r>
    <w:r w:rsidR="00FA124A" w:rsidRPr="002F7CB3">
      <w:rPr>
        <w:lang w:val="en-US"/>
      </w:rPr>
      <w:tab/>
    </w:r>
    <w:r w:rsidR="00D02712">
      <w:fldChar w:fldCharType="begin"/>
    </w:r>
    <w:r w:rsidR="00FA124A">
      <w:instrText xml:space="preserve"> savedate \@ dd.MM.yy </w:instrText>
    </w:r>
    <w:r w:rsidR="00D02712">
      <w:fldChar w:fldCharType="separate"/>
    </w:r>
    <w:r w:rsidR="00134281">
      <w:t>11.12.17</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921498">
      <w:t>04.12.17</w:t>
    </w:r>
    <w:r w:rsidR="00D0271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661" w:rsidRDefault="00F35661">
      <w:r>
        <w:t>____________________</w:t>
      </w:r>
    </w:p>
  </w:footnote>
  <w:footnote w:type="continuationSeparator" w:id="0">
    <w:p w:rsidR="00F35661" w:rsidRDefault="00F356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134281">
      <w:rPr>
        <w:rStyle w:val="PageNumber"/>
        <w:noProof/>
      </w:rPr>
      <w:t>9</w:t>
    </w:r>
    <w:r w:rsidR="00D02712">
      <w:rPr>
        <w:rStyle w:val="PageNumber"/>
      </w:rPr>
      <w:fldChar w:fldCharType="end"/>
    </w:r>
    <w:r>
      <w:rPr>
        <w:rStyle w:val="PageNumber"/>
      </w:rPr>
      <w:t xml:space="preserve"> -</w:t>
    </w:r>
  </w:p>
  <w:p w:rsidR="00FA124A" w:rsidRDefault="00921498" w:rsidP="00921498">
    <w:pPr>
      <w:pStyle w:val="Header"/>
      <w:rPr>
        <w:lang w:val="en-US"/>
      </w:rPr>
    </w:pPr>
    <w:r>
      <w:rPr>
        <w:lang w:val="en-US"/>
      </w:rPr>
      <w:t>5B/411 (Annex 23)-E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137E3"/>
    <w:multiLevelType w:val="hybridMultilevel"/>
    <w:tmpl w:val="8AFEBE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ir">
    <w15:presenceInfo w15:providerId="None" w15:userId="Chai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9AE"/>
    <w:rsid w:val="000069D4"/>
    <w:rsid w:val="000174AD"/>
    <w:rsid w:val="00047A1D"/>
    <w:rsid w:val="000604B9"/>
    <w:rsid w:val="000A7D55"/>
    <w:rsid w:val="000C12C8"/>
    <w:rsid w:val="000C2E8E"/>
    <w:rsid w:val="000C33AC"/>
    <w:rsid w:val="000E0E7C"/>
    <w:rsid w:val="000F1B4B"/>
    <w:rsid w:val="0012744F"/>
    <w:rsid w:val="00131178"/>
    <w:rsid w:val="00134281"/>
    <w:rsid w:val="00156F66"/>
    <w:rsid w:val="00163271"/>
    <w:rsid w:val="00182528"/>
    <w:rsid w:val="0018500B"/>
    <w:rsid w:val="00196A19"/>
    <w:rsid w:val="00202DC1"/>
    <w:rsid w:val="002116EE"/>
    <w:rsid w:val="002309D8"/>
    <w:rsid w:val="002A7FE2"/>
    <w:rsid w:val="002C3DBF"/>
    <w:rsid w:val="002E1B4F"/>
    <w:rsid w:val="002F2E67"/>
    <w:rsid w:val="002F7CB3"/>
    <w:rsid w:val="00315546"/>
    <w:rsid w:val="00330567"/>
    <w:rsid w:val="00386A9D"/>
    <w:rsid w:val="00391081"/>
    <w:rsid w:val="003B2789"/>
    <w:rsid w:val="003C13CE"/>
    <w:rsid w:val="003E2518"/>
    <w:rsid w:val="003E7CEF"/>
    <w:rsid w:val="004B1EF7"/>
    <w:rsid w:val="004B3FAD"/>
    <w:rsid w:val="004C5749"/>
    <w:rsid w:val="00501DCA"/>
    <w:rsid w:val="00513A47"/>
    <w:rsid w:val="005408DF"/>
    <w:rsid w:val="00573344"/>
    <w:rsid w:val="00583F9B"/>
    <w:rsid w:val="005E5C10"/>
    <w:rsid w:val="005F2C78"/>
    <w:rsid w:val="006144E4"/>
    <w:rsid w:val="00634706"/>
    <w:rsid w:val="00650299"/>
    <w:rsid w:val="00655FC5"/>
    <w:rsid w:val="006C48B6"/>
    <w:rsid w:val="007A59CC"/>
    <w:rsid w:val="00814E0A"/>
    <w:rsid w:val="00822581"/>
    <w:rsid w:val="008309DD"/>
    <w:rsid w:val="0083227A"/>
    <w:rsid w:val="00866900"/>
    <w:rsid w:val="00876A8A"/>
    <w:rsid w:val="00881BA1"/>
    <w:rsid w:val="008C2302"/>
    <w:rsid w:val="008C26B8"/>
    <w:rsid w:val="008F208F"/>
    <w:rsid w:val="00921498"/>
    <w:rsid w:val="00982084"/>
    <w:rsid w:val="00995963"/>
    <w:rsid w:val="009B61EB"/>
    <w:rsid w:val="009C2064"/>
    <w:rsid w:val="009D1697"/>
    <w:rsid w:val="009F3A46"/>
    <w:rsid w:val="009F6520"/>
    <w:rsid w:val="00A014F8"/>
    <w:rsid w:val="00A21D46"/>
    <w:rsid w:val="00A5173C"/>
    <w:rsid w:val="00A61AEF"/>
    <w:rsid w:val="00A84D5A"/>
    <w:rsid w:val="00AD2345"/>
    <w:rsid w:val="00AF173A"/>
    <w:rsid w:val="00AF296B"/>
    <w:rsid w:val="00B066A4"/>
    <w:rsid w:val="00B07A13"/>
    <w:rsid w:val="00B4279B"/>
    <w:rsid w:val="00B45FC9"/>
    <w:rsid w:val="00B76F35"/>
    <w:rsid w:val="00B81138"/>
    <w:rsid w:val="00BC7CCF"/>
    <w:rsid w:val="00BE470B"/>
    <w:rsid w:val="00C57A91"/>
    <w:rsid w:val="00CC01C2"/>
    <w:rsid w:val="00CF21F2"/>
    <w:rsid w:val="00D02712"/>
    <w:rsid w:val="00D046A7"/>
    <w:rsid w:val="00D214D0"/>
    <w:rsid w:val="00D6546B"/>
    <w:rsid w:val="00DB178B"/>
    <w:rsid w:val="00DB49AE"/>
    <w:rsid w:val="00DC17D3"/>
    <w:rsid w:val="00DD4BED"/>
    <w:rsid w:val="00DE39F0"/>
    <w:rsid w:val="00DF0AF3"/>
    <w:rsid w:val="00DF7E9F"/>
    <w:rsid w:val="00E07CFB"/>
    <w:rsid w:val="00E27D7E"/>
    <w:rsid w:val="00E42E13"/>
    <w:rsid w:val="00E56D5C"/>
    <w:rsid w:val="00E6257C"/>
    <w:rsid w:val="00E63C59"/>
    <w:rsid w:val="00EB28B5"/>
    <w:rsid w:val="00F25662"/>
    <w:rsid w:val="00F35661"/>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basedOn w:val="DefaultParagraphFont"/>
    <w:uiPriority w:val="99"/>
    <w:rsid w:val="00634706"/>
    <w:rPr>
      <w:rFonts w:cs="Times New Roman"/>
      <w:color w:val="0000FF"/>
      <w:u w:val="single"/>
    </w:rPr>
  </w:style>
  <w:style w:type="table" w:styleId="TableGrid">
    <w:name w:val="Table Grid"/>
    <w:basedOn w:val="TableNormal"/>
    <w:uiPriority w:val="39"/>
    <w:rsid w:val="00634706"/>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in">
    <w:name w:val="Table_fin"/>
    <w:basedOn w:val="Normal"/>
    <w:rsid w:val="00634706"/>
    <w:pPr>
      <w:spacing w:before="0"/>
    </w:pPr>
    <w:rPr>
      <w:rFonts w:eastAsiaTheme="minorEastAsia"/>
      <w:sz w:val="20"/>
    </w:rPr>
  </w:style>
  <w:style w:type="character" w:customStyle="1" w:styleId="Heading1Char">
    <w:name w:val="Heading 1 Char"/>
    <w:basedOn w:val="DefaultParagraphFont"/>
    <w:link w:val="Heading1"/>
    <w:rsid w:val="00634706"/>
    <w:rPr>
      <w:rFonts w:ascii="Times New Roman" w:hAnsi="Times New Roman"/>
      <w:b/>
      <w:sz w:val="28"/>
      <w:lang w:val="en-GB" w:eastAsia="en-US"/>
    </w:rPr>
  </w:style>
  <w:style w:type="character" w:customStyle="1" w:styleId="Heading2Char">
    <w:name w:val="Heading 2 Char"/>
    <w:basedOn w:val="DefaultParagraphFont"/>
    <w:link w:val="Heading2"/>
    <w:rsid w:val="00634706"/>
    <w:rPr>
      <w:rFonts w:ascii="Times New Roman" w:hAnsi="Times New Roman"/>
      <w:b/>
      <w:sz w:val="24"/>
      <w:lang w:val="en-GB" w:eastAsia="en-US"/>
    </w:rPr>
  </w:style>
  <w:style w:type="character" w:styleId="CommentReference">
    <w:name w:val="annotation reference"/>
    <w:basedOn w:val="DefaultParagraphFont"/>
    <w:semiHidden/>
    <w:unhideWhenUsed/>
    <w:rsid w:val="00634706"/>
    <w:rPr>
      <w:sz w:val="16"/>
      <w:szCs w:val="16"/>
    </w:rPr>
  </w:style>
  <w:style w:type="paragraph" w:styleId="CommentText">
    <w:name w:val="annotation text"/>
    <w:basedOn w:val="Normal"/>
    <w:link w:val="CommentTextChar"/>
    <w:semiHidden/>
    <w:unhideWhenUsed/>
    <w:rsid w:val="00634706"/>
    <w:rPr>
      <w:rFonts w:eastAsiaTheme="minorEastAsia"/>
      <w:sz w:val="20"/>
    </w:rPr>
  </w:style>
  <w:style w:type="character" w:customStyle="1" w:styleId="CommentTextChar">
    <w:name w:val="Comment Text Char"/>
    <w:basedOn w:val="DefaultParagraphFont"/>
    <w:link w:val="CommentText"/>
    <w:semiHidden/>
    <w:rsid w:val="00634706"/>
    <w:rPr>
      <w:rFonts w:ascii="Times New Roman" w:eastAsiaTheme="minorEastAsia" w:hAnsi="Times New Roman"/>
      <w:lang w:val="en-GB" w:eastAsia="en-US"/>
    </w:rPr>
  </w:style>
  <w:style w:type="paragraph" w:styleId="BalloonText">
    <w:name w:val="Balloon Text"/>
    <w:basedOn w:val="Normal"/>
    <w:link w:val="BalloonTextChar"/>
    <w:semiHidden/>
    <w:unhideWhenUsed/>
    <w:rsid w:val="00EB28B5"/>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B28B5"/>
    <w:rPr>
      <w:rFonts w:ascii="Segoe UI" w:hAnsi="Segoe UI" w:cs="Segoe UI"/>
      <w:sz w:val="18"/>
      <w:szCs w:val="18"/>
      <w:lang w:val="en-GB" w:eastAsia="en-US"/>
    </w:rPr>
  </w:style>
  <w:style w:type="paragraph" w:styleId="ListParagraph">
    <w:name w:val="List Paragraph"/>
    <w:basedOn w:val="Normal"/>
    <w:uiPriority w:val="34"/>
    <w:qFormat/>
    <w:rsid w:val="00EB28B5"/>
    <w:pPr>
      <w:ind w:left="720"/>
      <w:contextualSpacing/>
    </w:pPr>
  </w:style>
  <w:style w:type="paragraph" w:styleId="Revision">
    <w:name w:val="Revision"/>
    <w:hidden/>
    <w:uiPriority w:val="99"/>
    <w:semiHidden/>
    <w:rsid w:val="00E07CFB"/>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basedOn w:val="DefaultParagraphFont"/>
    <w:uiPriority w:val="99"/>
    <w:rsid w:val="00634706"/>
    <w:rPr>
      <w:rFonts w:cs="Times New Roman"/>
      <w:color w:val="0000FF"/>
      <w:u w:val="single"/>
    </w:rPr>
  </w:style>
  <w:style w:type="table" w:styleId="TableGrid">
    <w:name w:val="Table Grid"/>
    <w:basedOn w:val="TableNormal"/>
    <w:uiPriority w:val="39"/>
    <w:rsid w:val="00634706"/>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in">
    <w:name w:val="Table_fin"/>
    <w:basedOn w:val="Normal"/>
    <w:rsid w:val="00634706"/>
    <w:pPr>
      <w:spacing w:before="0"/>
    </w:pPr>
    <w:rPr>
      <w:rFonts w:eastAsiaTheme="minorEastAsia"/>
      <w:sz w:val="20"/>
    </w:rPr>
  </w:style>
  <w:style w:type="character" w:customStyle="1" w:styleId="Heading1Char">
    <w:name w:val="Heading 1 Char"/>
    <w:basedOn w:val="DefaultParagraphFont"/>
    <w:link w:val="Heading1"/>
    <w:rsid w:val="00634706"/>
    <w:rPr>
      <w:rFonts w:ascii="Times New Roman" w:hAnsi="Times New Roman"/>
      <w:b/>
      <w:sz w:val="28"/>
      <w:lang w:val="en-GB" w:eastAsia="en-US"/>
    </w:rPr>
  </w:style>
  <w:style w:type="character" w:customStyle="1" w:styleId="Heading2Char">
    <w:name w:val="Heading 2 Char"/>
    <w:basedOn w:val="DefaultParagraphFont"/>
    <w:link w:val="Heading2"/>
    <w:rsid w:val="00634706"/>
    <w:rPr>
      <w:rFonts w:ascii="Times New Roman" w:hAnsi="Times New Roman"/>
      <w:b/>
      <w:sz w:val="24"/>
      <w:lang w:val="en-GB" w:eastAsia="en-US"/>
    </w:rPr>
  </w:style>
  <w:style w:type="character" w:styleId="CommentReference">
    <w:name w:val="annotation reference"/>
    <w:basedOn w:val="DefaultParagraphFont"/>
    <w:semiHidden/>
    <w:unhideWhenUsed/>
    <w:rsid w:val="00634706"/>
    <w:rPr>
      <w:sz w:val="16"/>
      <w:szCs w:val="16"/>
    </w:rPr>
  </w:style>
  <w:style w:type="paragraph" w:styleId="CommentText">
    <w:name w:val="annotation text"/>
    <w:basedOn w:val="Normal"/>
    <w:link w:val="CommentTextChar"/>
    <w:semiHidden/>
    <w:unhideWhenUsed/>
    <w:rsid w:val="00634706"/>
    <w:rPr>
      <w:rFonts w:eastAsiaTheme="minorEastAsia"/>
      <w:sz w:val="20"/>
    </w:rPr>
  </w:style>
  <w:style w:type="character" w:customStyle="1" w:styleId="CommentTextChar">
    <w:name w:val="Comment Text Char"/>
    <w:basedOn w:val="DefaultParagraphFont"/>
    <w:link w:val="CommentText"/>
    <w:semiHidden/>
    <w:rsid w:val="00634706"/>
    <w:rPr>
      <w:rFonts w:ascii="Times New Roman" w:eastAsiaTheme="minorEastAsia" w:hAnsi="Times New Roman"/>
      <w:lang w:val="en-GB" w:eastAsia="en-US"/>
    </w:rPr>
  </w:style>
  <w:style w:type="paragraph" w:styleId="BalloonText">
    <w:name w:val="Balloon Text"/>
    <w:basedOn w:val="Normal"/>
    <w:link w:val="BalloonTextChar"/>
    <w:semiHidden/>
    <w:unhideWhenUsed/>
    <w:rsid w:val="00EB28B5"/>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B28B5"/>
    <w:rPr>
      <w:rFonts w:ascii="Segoe UI" w:hAnsi="Segoe UI" w:cs="Segoe UI"/>
      <w:sz w:val="18"/>
      <w:szCs w:val="18"/>
      <w:lang w:val="en-GB" w:eastAsia="en-US"/>
    </w:rPr>
  </w:style>
  <w:style w:type="paragraph" w:styleId="ListParagraph">
    <w:name w:val="List Paragraph"/>
    <w:basedOn w:val="Normal"/>
    <w:uiPriority w:val="34"/>
    <w:qFormat/>
    <w:rsid w:val="00EB28B5"/>
    <w:pPr>
      <w:ind w:left="720"/>
      <w:contextualSpacing/>
    </w:pPr>
  </w:style>
  <w:style w:type="paragraph" w:styleId="Revision">
    <w:name w:val="Revision"/>
    <w:hidden/>
    <w:uiPriority w:val="99"/>
    <w:semiHidden/>
    <w:rsid w:val="00E07CFB"/>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tu.int/rec/R-REC-M.1371/e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tu.int/rec/R-REC-M.585/en"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itu.int/rec/R-REC-M.493/en"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traz\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0</TotalTime>
  <Pages>1</Pages>
  <Words>3240</Words>
  <Characters>18472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Detraz, Laurence</dc:creator>
  <cp:lastModifiedBy>Wim</cp:lastModifiedBy>
  <cp:revision>1</cp:revision>
  <cp:lastPrinted>2017-12-04T09:01:00Z</cp:lastPrinted>
  <dcterms:created xsi:type="dcterms:W3CDTF">2018-09-01T12:58:00Z</dcterms:created>
  <dcterms:modified xsi:type="dcterms:W3CDTF">2018-09-01T12:58:00Z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